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EA2B2" w14:textId="77777777" w:rsidR="008753F7" w:rsidRDefault="008A4ACE">
      <w:pPr>
        <w:spacing w:after="251" w:line="259" w:lineRule="auto"/>
        <w:ind w:left="107" w:right="-41" w:firstLine="0"/>
        <w:jc w:val="left"/>
      </w:pPr>
      <w:r>
        <w:rPr>
          <w:noProof/>
          <w:color w:val="000000"/>
        </w:rPr>
        <mc:AlternateContent>
          <mc:Choice Requires="wpg">
            <w:drawing>
              <wp:inline distT="0" distB="0" distL="0" distR="0" wp14:anchorId="348B73FD" wp14:editId="64ED9204">
                <wp:extent cx="5777636" cy="704596"/>
                <wp:effectExtent l="0" t="0" r="0" b="0"/>
                <wp:docPr id="1361" name="Group 13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7636" cy="704596"/>
                          <a:chOff x="0" y="0"/>
                          <a:chExt cx="5777636" cy="704596"/>
                        </a:xfrm>
                      </wpg:grpSpPr>
                      <pic:pic xmlns:pic="http://schemas.openxmlformats.org/drawingml/2006/picture">
                        <pic:nvPicPr>
                          <pic:cNvPr id="1359" name="Picture 135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208477"/>
                            <a:ext cx="1386840" cy="44805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" name="Picture 5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262272" y="0"/>
                            <a:ext cx="1515364" cy="70459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61" style="width:454.932pt;height:55.48pt;mso-position-horizontal-relative:char;mso-position-vertical-relative:line" coordsize="57776,7045">
                <v:shape id="Picture 1359" style="position:absolute;width:13868;height:4480;left:0;top:2084;" filled="f">
                  <v:imagedata r:id="rId9"/>
                </v:shape>
                <v:shape id="Picture 55" style="position:absolute;width:15153;height:7045;left:42622;top:0;" filled="f">
                  <v:imagedata r:id="rId10"/>
                </v:shape>
              </v:group>
            </w:pict>
          </mc:Fallback>
        </mc:AlternateContent>
      </w:r>
    </w:p>
    <w:p w14:paraId="45C83886" w14:textId="77777777" w:rsidR="005345A7" w:rsidRDefault="005345A7" w:rsidP="005345A7">
      <w:pPr>
        <w:rPr>
          <w:rFonts w:asciiTheme="minorHAnsi" w:hAnsiTheme="minorHAnsi" w:cstheme="minorHAnsi"/>
          <w:b/>
          <w:bCs/>
          <w:sz w:val="34"/>
          <w:szCs w:val="34"/>
        </w:rPr>
      </w:pPr>
    </w:p>
    <w:p w14:paraId="7C8EEFF6" w14:textId="54A129AA" w:rsidR="005345A7" w:rsidRPr="005345A7" w:rsidRDefault="005345A7" w:rsidP="005345A7">
      <w:pPr>
        <w:rPr>
          <w:rFonts w:asciiTheme="minorHAnsi" w:hAnsiTheme="minorHAnsi" w:cstheme="minorHAnsi"/>
          <w:b/>
          <w:bCs/>
          <w:sz w:val="34"/>
          <w:szCs w:val="34"/>
        </w:rPr>
      </w:pPr>
      <w:r w:rsidRPr="005345A7">
        <w:rPr>
          <w:rFonts w:asciiTheme="minorHAnsi" w:hAnsiTheme="minorHAnsi" w:cstheme="minorHAnsi"/>
          <w:b/>
          <w:bCs/>
          <w:sz w:val="34"/>
          <w:szCs w:val="34"/>
        </w:rPr>
        <w:t>ACE–UIA közös Nyilatkozata az építész tervpályázatokról: egy kulcsfontosságú politikai eszköz, amely ötvözi a minőségi építészeti és gazdasági előnyöket</w:t>
      </w:r>
    </w:p>
    <w:p w14:paraId="24E7CF2B" w14:textId="0DB099B6" w:rsidR="005345A7" w:rsidRDefault="000C5647" w:rsidP="000C5647">
      <w:pPr>
        <w:spacing w:after="0"/>
        <w:ind w:left="0" w:firstLine="0"/>
        <w:jc w:val="center"/>
        <w:rPr>
          <w:rFonts w:asciiTheme="minorHAnsi" w:hAnsiTheme="minorHAnsi" w:cstheme="minorHAnsi"/>
          <w:b/>
          <w:bCs/>
          <w:i/>
          <w:iCs/>
        </w:rPr>
      </w:pPr>
      <w:r>
        <w:rPr>
          <w:rFonts w:asciiTheme="minorHAnsi" w:hAnsiTheme="minorHAnsi" w:cstheme="minorHAnsi"/>
          <w:b/>
          <w:bCs/>
          <w:i/>
          <w:iCs/>
        </w:rPr>
        <w:t>A</w:t>
      </w:r>
      <w:r w:rsidRPr="005345A7">
        <w:rPr>
          <w:rFonts w:asciiTheme="minorHAnsi" w:hAnsiTheme="minorHAnsi" w:cstheme="minorHAnsi"/>
          <w:b/>
          <w:bCs/>
          <w:i/>
          <w:iCs/>
        </w:rPr>
        <w:t xml:space="preserve">z 2026. április 23-án Brüsszelben </w:t>
      </w:r>
      <w:r>
        <w:rPr>
          <w:rFonts w:asciiTheme="minorHAnsi" w:hAnsiTheme="minorHAnsi" w:cstheme="minorHAnsi"/>
          <w:b/>
          <w:bCs/>
          <w:i/>
          <w:iCs/>
        </w:rPr>
        <w:t xml:space="preserve">tartott </w:t>
      </w:r>
      <w:r w:rsidRPr="005345A7">
        <w:rPr>
          <w:rFonts w:asciiTheme="minorHAnsi" w:hAnsiTheme="minorHAnsi" w:cstheme="minorHAnsi"/>
          <w:b/>
          <w:bCs/>
          <w:i/>
          <w:iCs/>
        </w:rPr>
        <w:t>ACE x ARCH-E Építész Tervpályázatokról közös konferenciája alkalmából</w:t>
      </w:r>
      <w:r>
        <w:rPr>
          <w:rFonts w:asciiTheme="minorHAnsi" w:hAnsiTheme="minorHAnsi" w:cstheme="minorHAnsi"/>
          <w:b/>
          <w:bCs/>
          <w:i/>
          <w:iCs/>
        </w:rPr>
        <w:t xml:space="preserve"> </w:t>
      </w:r>
      <w:r w:rsidR="005345A7" w:rsidRPr="005345A7">
        <w:rPr>
          <w:rFonts w:asciiTheme="minorHAnsi" w:hAnsiTheme="minorHAnsi" w:cstheme="minorHAnsi"/>
          <w:b/>
          <w:bCs/>
          <w:i/>
          <w:iCs/>
        </w:rPr>
        <w:t xml:space="preserve">Európa Építészek Tanácsa (ACE) és az Építészek Nemzetközi Szövetsége (UIA) közös nyilatkozatot </w:t>
      </w:r>
      <w:r w:rsidR="006D5829" w:rsidRPr="005345A7">
        <w:rPr>
          <w:rFonts w:asciiTheme="minorHAnsi" w:hAnsiTheme="minorHAnsi" w:cstheme="minorHAnsi"/>
          <w:b/>
          <w:bCs/>
          <w:i/>
          <w:iCs/>
        </w:rPr>
        <w:t>ad</w:t>
      </w:r>
      <w:r w:rsidR="006D5829">
        <w:rPr>
          <w:rFonts w:asciiTheme="minorHAnsi" w:hAnsiTheme="minorHAnsi" w:cstheme="minorHAnsi"/>
          <w:b/>
          <w:bCs/>
          <w:i/>
          <w:iCs/>
        </w:rPr>
        <w:t>ott</w:t>
      </w:r>
      <w:r w:rsidR="006D5829" w:rsidRPr="005345A7">
        <w:rPr>
          <w:rFonts w:asciiTheme="minorHAnsi" w:hAnsiTheme="minorHAnsi" w:cstheme="minorHAnsi"/>
          <w:b/>
          <w:bCs/>
          <w:i/>
          <w:iCs/>
        </w:rPr>
        <w:t xml:space="preserve"> ki</w:t>
      </w:r>
    </w:p>
    <w:p w14:paraId="264B59E3" w14:textId="77777777" w:rsidR="000C5647" w:rsidRPr="005345A7" w:rsidRDefault="000C5647" w:rsidP="000C5647">
      <w:pPr>
        <w:spacing w:after="0"/>
        <w:ind w:left="0" w:firstLine="0"/>
        <w:jc w:val="center"/>
        <w:rPr>
          <w:rFonts w:asciiTheme="minorHAnsi" w:hAnsiTheme="minorHAnsi" w:cstheme="minorHAnsi"/>
          <w:b/>
          <w:bCs/>
          <w:i/>
          <w:iCs/>
        </w:rPr>
      </w:pPr>
    </w:p>
    <w:p w14:paraId="30644192" w14:textId="77777777" w:rsidR="000C5647" w:rsidRDefault="005345A7" w:rsidP="000C5647">
      <w:pPr>
        <w:spacing w:after="0"/>
        <w:ind w:left="27" w:right="-15"/>
      </w:pPr>
      <w:r w:rsidRPr="005345A7">
        <w:t>Az építészeti terv</w:t>
      </w:r>
      <w:r>
        <w:t>pályázatok</w:t>
      </w:r>
      <w:r w:rsidRPr="005345A7">
        <w:t xml:space="preserve"> (ADC-k) bizonyított</w:t>
      </w:r>
      <w:r>
        <w:t>an</w:t>
      </w:r>
      <w:r w:rsidRPr="005345A7">
        <w:t xml:space="preserve"> </w:t>
      </w:r>
      <w:r>
        <w:t xml:space="preserve">legjobb </w:t>
      </w:r>
      <w:r w:rsidRPr="005345A7">
        <w:t>eszközök a</w:t>
      </w:r>
      <w:r>
        <w:t>z építészeti</w:t>
      </w:r>
      <w:r w:rsidRPr="005345A7">
        <w:t xml:space="preserve"> minőség elérésére az épített környezetben. Ezek </w:t>
      </w:r>
      <w:r>
        <w:t>az átlátható</w:t>
      </w:r>
      <w:r w:rsidRPr="005345A7">
        <w:t xml:space="preserve"> eljárások, független szakmai értékelésen és a résztvevők</w:t>
      </w:r>
      <w:r>
        <w:t>kel</w:t>
      </w:r>
      <w:r w:rsidRPr="005345A7">
        <w:t xml:space="preserve"> </w:t>
      </w:r>
      <w:r>
        <w:t xml:space="preserve">történő </w:t>
      </w:r>
      <w:r w:rsidRPr="005345A7">
        <w:t>egyenlő bánásmód</w:t>
      </w:r>
      <w:r>
        <w:t xml:space="preserve"> elvein</w:t>
      </w:r>
      <w:r w:rsidRPr="005345A7">
        <w:t xml:space="preserve"> alapulnak, azzal a céllal, hogy megtalálják a legjobb </w:t>
      </w:r>
      <w:r>
        <w:t>terv</w:t>
      </w:r>
      <w:r w:rsidRPr="005345A7">
        <w:t>javaslatot egy adott feladatra.</w:t>
      </w:r>
    </w:p>
    <w:p w14:paraId="0461FD85" w14:textId="77777777" w:rsidR="000C5647" w:rsidRDefault="000C5647" w:rsidP="000C5647">
      <w:pPr>
        <w:spacing w:after="0"/>
        <w:ind w:left="27" w:right="-15"/>
      </w:pPr>
    </w:p>
    <w:p w14:paraId="1C16FBF8" w14:textId="6DED9F29" w:rsidR="005345A7" w:rsidRDefault="005345A7" w:rsidP="000C5647">
      <w:pPr>
        <w:spacing w:after="0"/>
        <w:ind w:left="27" w:right="-15"/>
      </w:pPr>
      <w:r w:rsidRPr="005345A7">
        <w:t>Az Európa Építészek Tanácsa (ACE) és a</w:t>
      </w:r>
      <w:r w:rsidR="00645F83">
        <w:t>z</w:t>
      </w:r>
      <w:r w:rsidRPr="005345A7">
        <w:t xml:space="preserve"> Építészek </w:t>
      </w:r>
      <w:r w:rsidR="00D7391A" w:rsidRPr="005345A7">
        <w:t xml:space="preserve">Nemzetközi </w:t>
      </w:r>
      <w:r w:rsidRPr="005345A7">
        <w:t xml:space="preserve">Szövetsége (UIA) megerősítik elkötelezettségüket ezen elvek </w:t>
      </w:r>
      <w:r w:rsidR="00C23469">
        <w:t xml:space="preserve">mellett </w:t>
      </w:r>
      <w:r w:rsidRPr="005345A7">
        <w:t>és következetes alkalmazásuk iránt, arra ösztönözve a köz</w:t>
      </w:r>
      <w:r>
        <w:t>beszerzés</w:t>
      </w:r>
      <w:r w:rsidR="00C23469">
        <w:t>re kötelezett</w:t>
      </w:r>
      <w:r>
        <w:t xml:space="preserve"> </w:t>
      </w:r>
      <w:r w:rsidRPr="005345A7">
        <w:t xml:space="preserve">intézményeket és magánügyfeleket, hogy a minőség, </w:t>
      </w:r>
      <w:r w:rsidR="00C23469">
        <w:t xml:space="preserve">az </w:t>
      </w:r>
      <w:r w:rsidRPr="005345A7">
        <w:t>innováció és a</w:t>
      </w:r>
      <w:r w:rsidR="006D5829">
        <w:t>z</w:t>
      </w:r>
      <w:r w:rsidRPr="005345A7">
        <w:t xml:space="preserve"> é</w:t>
      </w:r>
      <w:r w:rsidR="00C23469">
        <w:t>pítész</w:t>
      </w:r>
      <w:r w:rsidR="006D5829">
        <w:t>eti</w:t>
      </w:r>
      <w:r w:rsidR="00C23469">
        <w:t xml:space="preserve"> minőség</w:t>
      </w:r>
      <w:r w:rsidRPr="005345A7">
        <w:t xml:space="preserve"> felé törekedjenek </w:t>
      </w:r>
      <w:r w:rsidR="00C23469">
        <w:t xml:space="preserve">tervpályázatokon </w:t>
      </w:r>
      <w:r w:rsidRPr="005345A7">
        <w:t>keresztül.</w:t>
      </w:r>
    </w:p>
    <w:p w14:paraId="160CE085" w14:textId="77777777" w:rsidR="00D7391A" w:rsidRPr="005345A7" w:rsidRDefault="00D7391A" w:rsidP="000C5647">
      <w:pPr>
        <w:spacing w:after="0"/>
        <w:ind w:left="27" w:right="-15"/>
      </w:pPr>
    </w:p>
    <w:p w14:paraId="3DF3B35B" w14:textId="528421EA" w:rsidR="005345A7" w:rsidRDefault="00C23469">
      <w:pPr>
        <w:ind w:left="27" w:right="-15"/>
      </w:pPr>
      <w:r w:rsidRPr="00C23469">
        <w:t>Továbbá a</w:t>
      </w:r>
      <w:r>
        <w:t xml:space="preserve"> tervpályázatok</w:t>
      </w:r>
      <w:r w:rsidRPr="00C23469">
        <w:t xml:space="preserve"> ügyfele</w:t>
      </w:r>
      <w:r>
        <w:t>k</w:t>
      </w:r>
      <w:r w:rsidRPr="00C23469">
        <w:t xml:space="preserve">nek, </w:t>
      </w:r>
      <w:r w:rsidR="00645F83">
        <w:t xml:space="preserve">pályázó </w:t>
      </w:r>
      <w:r w:rsidRPr="00C23469">
        <w:t>társa</w:t>
      </w:r>
      <w:r>
        <w:t>k</w:t>
      </w:r>
      <w:r w:rsidRPr="00C23469">
        <w:t>nak és társadal</w:t>
      </w:r>
      <w:r>
        <w:t>om</w:t>
      </w:r>
      <w:r w:rsidRPr="00C23469">
        <w:t>nak kínál</w:t>
      </w:r>
      <w:r>
        <w:t>nak</w:t>
      </w:r>
      <w:r w:rsidRPr="00C23469">
        <w:t xml:space="preserve"> előny</w:t>
      </w:r>
      <w:r>
        <w:t>öket</w:t>
      </w:r>
      <w:r w:rsidRPr="00C23469">
        <w:t xml:space="preserve">, amelyeket a közös </w:t>
      </w:r>
      <w:r w:rsidRPr="004F25AA">
        <w:rPr>
          <w:b/>
          <w:bCs/>
        </w:rPr>
        <w:t>Építész Tervpályázatokról szóló Nyilatkozat</w:t>
      </w:r>
      <w:r>
        <w:t xml:space="preserve"> szerint</w:t>
      </w:r>
      <w:r w:rsidRPr="00C23469">
        <w:t xml:space="preserve">: </w:t>
      </w:r>
      <w:r w:rsidR="004F25AA" w:rsidRPr="006D5829">
        <w:rPr>
          <w:b/>
          <w:bCs/>
        </w:rPr>
        <w:t>a tervpályázat</w:t>
      </w:r>
      <w:r w:rsidRPr="006D5829">
        <w:rPr>
          <w:b/>
          <w:bCs/>
        </w:rPr>
        <w:t xml:space="preserve"> kulcsfontosságú politikai eszköz a</w:t>
      </w:r>
      <w:r w:rsidR="006D5829" w:rsidRPr="006D5829">
        <w:rPr>
          <w:b/>
          <w:bCs/>
        </w:rPr>
        <w:t>z építészeti</w:t>
      </w:r>
      <w:r w:rsidRPr="006D5829">
        <w:rPr>
          <w:b/>
          <w:bCs/>
        </w:rPr>
        <w:t xml:space="preserve"> minőség biztosítására az </w:t>
      </w:r>
      <w:r w:rsidR="00645F83">
        <w:rPr>
          <w:b/>
          <w:bCs/>
        </w:rPr>
        <w:t>é</w:t>
      </w:r>
      <w:r w:rsidRPr="006D5829">
        <w:rPr>
          <w:b/>
          <w:bCs/>
        </w:rPr>
        <w:t>pített Környezetben.</w:t>
      </w:r>
      <w:r w:rsidRPr="00C23469">
        <w:t xml:space="preserve"> </w:t>
      </w:r>
      <w:r w:rsidR="000615C3">
        <w:t>Az elvet</w:t>
      </w:r>
      <w:r w:rsidR="000615C3" w:rsidRPr="00C23469">
        <w:t xml:space="preserve"> </w:t>
      </w:r>
      <w:r w:rsidR="000615C3">
        <w:t>a</w:t>
      </w:r>
      <w:r w:rsidR="000615C3" w:rsidRPr="00C23469">
        <w:t xml:space="preserve">z UIA </w:t>
      </w:r>
      <w:r w:rsidR="000615C3">
        <w:t xml:space="preserve">és az </w:t>
      </w:r>
      <w:r w:rsidR="000615C3" w:rsidRPr="00C23469">
        <w:t>ACE által 2019. október 25-én az UNESCO párizsi központjában rendezett nemzetközi terv</w:t>
      </w:r>
      <w:r w:rsidR="000615C3">
        <w:t>pályázatokról szóló</w:t>
      </w:r>
      <w:r w:rsidR="000615C3" w:rsidRPr="00C23469">
        <w:t xml:space="preserve"> </w:t>
      </w:r>
      <w:r w:rsidR="000615C3">
        <w:t>k</w:t>
      </w:r>
      <w:r w:rsidRPr="00C23469">
        <w:t xml:space="preserve">onferencia keretében </w:t>
      </w:r>
      <w:r w:rsidR="000615C3">
        <w:t>ismertett</w:t>
      </w:r>
      <w:r w:rsidR="00645F83">
        <w:t>é</w:t>
      </w:r>
      <w:r w:rsidR="000615C3">
        <w:t xml:space="preserve">k, </w:t>
      </w:r>
      <w:r w:rsidR="006D5829">
        <w:t xml:space="preserve">és </w:t>
      </w:r>
      <w:r w:rsidRPr="00C23469">
        <w:t xml:space="preserve">az ARCH-E </w:t>
      </w:r>
      <w:r w:rsidR="000615C3">
        <w:t>P</w:t>
      </w:r>
      <w:r w:rsidRPr="00C23469">
        <w:t xml:space="preserve">rojekt </w:t>
      </w:r>
      <w:r w:rsidR="000615C3">
        <w:t xml:space="preserve">keretében </w:t>
      </w:r>
      <w:r w:rsidRPr="00C23469">
        <w:t xml:space="preserve">további </w:t>
      </w:r>
      <w:r w:rsidR="006D5829">
        <w:t>terv</w:t>
      </w:r>
      <w:r w:rsidR="000615C3">
        <w:t xml:space="preserve">pályázati </w:t>
      </w:r>
      <w:r w:rsidRPr="00C23469">
        <w:t>előnyöket mutatt</w:t>
      </w:r>
      <w:r w:rsidR="000615C3">
        <w:t>ak</w:t>
      </w:r>
      <w:r w:rsidRPr="00C23469">
        <w:t xml:space="preserve"> be.</w:t>
      </w:r>
    </w:p>
    <w:p w14:paraId="15260952" w14:textId="77777777" w:rsidR="000615C3" w:rsidRPr="000615C3" w:rsidRDefault="000615C3" w:rsidP="00C23469">
      <w:pPr>
        <w:spacing w:after="0"/>
        <w:ind w:left="27" w:right="-15"/>
        <w:rPr>
          <w:b/>
          <w:bCs/>
        </w:rPr>
      </w:pPr>
      <w:r w:rsidRPr="000615C3">
        <w:rPr>
          <w:b/>
          <w:bCs/>
        </w:rPr>
        <w:t>Gazdasági és társadalmi előnyök</w:t>
      </w:r>
    </w:p>
    <w:p w14:paraId="1D6448FC" w14:textId="724F7DA1" w:rsidR="00C23469" w:rsidRDefault="000615C3" w:rsidP="00C23469">
      <w:pPr>
        <w:spacing w:after="0"/>
        <w:ind w:left="27" w:right="-15"/>
      </w:pPr>
      <w:r w:rsidRPr="000615C3">
        <w:t>A legújabb adatok</w:t>
      </w:r>
      <w:r w:rsidR="006173DC">
        <w:rPr>
          <w:rStyle w:val="Lbjegyzet-hivatkozs"/>
        </w:rPr>
        <w:footnoteReference w:id="1"/>
      </w:r>
      <w:r w:rsidRPr="000615C3">
        <w:t xml:space="preserve"> és tanulmányok</w:t>
      </w:r>
      <w:r w:rsidR="004F25AA">
        <w:rPr>
          <w:rStyle w:val="Lbjegyzet-hivatkozs"/>
        </w:rPr>
        <w:footnoteReference w:id="2"/>
      </w:r>
      <w:r w:rsidRPr="000615C3">
        <w:t xml:space="preserve"> egyértelműen mutatják, hogy a </w:t>
      </w:r>
      <w:r w:rsidR="006D5829">
        <w:t>terv</w:t>
      </w:r>
      <w:r w:rsidR="004F25AA">
        <w:t>pályázatok</w:t>
      </w:r>
      <w:r w:rsidRPr="000615C3">
        <w:t xml:space="preserve"> keretében </w:t>
      </w:r>
      <w:r w:rsidR="004F25AA">
        <w:t>létrejövő</w:t>
      </w:r>
      <w:r w:rsidRPr="000615C3">
        <w:t xml:space="preserve"> építészeti megoldások gazdaságilag </w:t>
      </w:r>
      <w:r w:rsidR="00645F83">
        <w:t xml:space="preserve">is </w:t>
      </w:r>
      <w:r w:rsidRPr="000615C3">
        <w:t xml:space="preserve">előnyösebbek és </w:t>
      </w:r>
      <w:r w:rsidR="004F25AA">
        <w:t xml:space="preserve">összességében </w:t>
      </w:r>
      <w:r w:rsidRPr="000615C3">
        <w:t xml:space="preserve">rövidebb idő alatt készülnek el, mint más beszerzési </w:t>
      </w:r>
      <w:r w:rsidR="00645F83">
        <w:t>eljáráso</w:t>
      </w:r>
      <w:r w:rsidRPr="000615C3">
        <w:t>k kere</w:t>
      </w:r>
      <w:r w:rsidR="00645F83">
        <w:t>tében</w:t>
      </w:r>
      <w:r w:rsidRPr="000615C3">
        <w:t xml:space="preserve"> megvalósított projektek. A</w:t>
      </w:r>
      <w:r w:rsidR="004F25AA">
        <w:t xml:space="preserve"> tervpályázato</w:t>
      </w:r>
      <w:r w:rsidRPr="000615C3">
        <w:t xml:space="preserve">k lehetőségeinek teljes kiaknázásához </w:t>
      </w:r>
      <w:r w:rsidR="004F25AA">
        <w:t xml:space="preserve">eljárási </w:t>
      </w:r>
      <w:r w:rsidRPr="000615C3">
        <w:t>folyamat</w:t>
      </w:r>
      <w:r w:rsidR="004F25AA">
        <w:t xml:space="preserve"> </w:t>
      </w:r>
      <w:r w:rsidR="004F25AA" w:rsidRPr="000615C3">
        <w:t xml:space="preserve">precíz </w:t>
      </w:r>
      <w:r w:rsidRPr="000615C3">
        <w:t>előkészítés</w:t>
      </w:r>
      <w:r w:rsidR="004F25AA">
        <w:t>é</w:t>
      </w:r>
      <w:r w:rsidRPr="000615C3">
        <w:t>re és világos eljárási szabá</w:t>
      </w:r>
      <w:r w:rsidR="004F25AA">
        <w:t>l</w:t>
      </w:r>
      <w:r w:rsidRPr="000615C3">
        <w:t>yokra van szükség.</w:t>
      </w:r>
    </w:p>
    <w:p w14:paraId="07CD24F4" w14:textId="77777777" w:rsidR="006D5829" w:rsidRDefault="006D5829" w:rsidP="006173DC">
      <w:pPr>
        <w:spacing w:after="0"/>
        <w:ind w:left="27" w:right="-15"/>
      </w:pPr>
    </w:p>
    <w:p w14:paraId="640F6838" w14:textId="77777777" w:rsidR="006D5829" w:rsidRPr="006173DC" w:rsidRDefault="006D5829" w:rsidP="006D5829">
      <w:pPr>
        <w:spacing w:after="0"/>
        <w:ind w:left="27" w:right="-15"/>
        <w:rPr>
          <w:b/>
          <w:bCs/>
        </w:rPr>
      </w:pPr>
      <w:r w:rsidRPr="006173DC">
        <w:rPr>
          <w:b/>
          <w:bCs/>
        </w:rPr>
        <w:t>A projektek magasabb szintű elfogadása</w:t>
      </w:r>
    </w:p>
    <w:p w14:paraId="62F94D6F" w14:textId="4661656B" w:rsidR="006173DC" w:rsidRPr="006173DC" w:rsidRDefault="006173DC" w:rsidP="006173DC">
      <w:pPr>
        <w:spacing w:after="0"/>
        <w:ind w:left="27" w:right="-15"/>
      </w:pPr>
      <w:r w:rsidRPr="006173DC">
        <w:t>A t</w:t>
      </w:r>
      <w:r>
        <w:t>ervek</w:t>
      </w:r>
      <w:r w:rsidRPr="006173DC">
        <w:t xml:space="preserve"> megvalósíthatóság</w:t>
      </w:r>
      <w:r w:rsidR="006D5829">
        <w:t>a</w:t>
      </w:r>
      <w:r w:rsidRPr="006173DC">
        <w:t>, valamint a</w:t>
      </w:r>
      <w:r>
        <w:t xml:space="preserve"> pályázat</w:t>
      </w:r>
      <w:r w:rsidR="006D5829">
        <w:t>i tervek</w:t>
      </w:r>
      <w:r w:rsidRPr="006173DC">
        <w:t xml:space="preserve"> bead</w:t>
      </w:r>
      <w:r>
        <w:t>ása</w:t>
      </w:r>
      <w:r w:rsidRPr="006173DC">
        <w:t xml:space="preserve"> és eljárás minőségét értékelő m</w:t>
      </w:r>
      <w:r w:rsidR="00645F83">
        <w:t>ódszerek</w:t>
      </w:r>
      <w:r w:rsidRPr="006173DC">
        <w:t xml:space="preserve"> biztosítják az átlátható és hatékony beszerzést a </w:t>
      </w:r>
      <w:r w:rsidR="006D5829">
        <w:t xml:space="preserve">pályázati </w:t>
      </w:r>
      <w:r w:rsidRPr="006173DC">
        <w:t>folyamat minden szakaszában. Ezen túlmenően az irányított részvételi folyamatok lehetővé teszik a tudásmegosztás</w:t>
      </w:r>
      <w:r w:rsidR="00645F83">
        <w:t>t és az</w:t>
      </w:r>
      <w:r w:rsidRPr="006173DC">
        <w:t xml:space="preserve"> együttműködést különböző érintettek között, javítva a </w:t>
      </w:r>
      <w:r>
        <w:t xml:space="preserve">pályázati </w:t>
      </w:r>
      <w:r w:rsidR="006D5829">
        <w:t xml:space="preserve">tervezési </w:t>
      </w:r>
      <w:r w:rsidRPr="006173DC">
        <w:t xml:space="preserve">feladatot azáltal, hogy összehangolják a </w:t>
      </w:r>
      <w:r>
        <w:t xml:space="preserve">leendő </w:t>
      </w:r>
      <w:r w:rsidRPr="006173DC">
        <w:t>felhasználók, köztük a közö</w:t>
      </w:r>
      <w:r w:rsidR="006D5829">
        <w:t>s</w:t>
      </w:r>
      <w:r w:rsidRPr="006173DC">
        <w:t xml:space="preserve">ség érdekeit. A projektek magasabb </w:t>
      </w:r>
      <w:r>
        <w:t xml:space="preserve">szintű </w:t>
      </w:r>
      <w:r w:rsidRPr="006173DC">
        <w:t xml:space="preserve">elfogadottsága, amely </w:t>
      </w:r>
      <w:r>
        <w:t xml:space="preserve">az </w:t>
      </w:r>
      <w:r w:rsidRPr="006173DC">
        <w:t xml:space="preserve">átlátható </w:t>
      </w:r>
      <w:r>
        <w:t xml:space="preserve">tervpályázati </w:t>
      </w:r>
      <w:r w:rsidRPr="006173DC">
        <w:t xml:space="preserve">eljárásokból származik, és </w:t>
      </w:r>
      <w:r>
        <w:t xml:space="preserve">az érintett </w:t>
      </w:r>
      <w:r w:rsidRPr="006173DC">
        <w:t>polgárok részvétel</w:t>
      </w:r>
      <w:r>
        <w:t>i</w:t>
      </w:r>
      <w:r w:rsidRPr="006173DC">
        <w:t xml:space="preserve"> folyamatai révén, minden érintett számára értékes előny</w:t>
      </w:r>
      <w:r>
        <w:t>t jelent</w:t>
      </w:r>
      <w:r w:rsidRPr="006173DC">
        <w:t>.</w:t>
      </w:r>
    </w:p>
    <w:p w14:paraId="4611C948" w14:textId="77777777" w:rsidR="006173DC" w:rsidRDefault="006173DC" w:rsidP="00C23469">
      <w:pPr>
        <w:spacing w:after="0"/>
        <w:ind w:left="27" w:right="-15"/>
      </w:pPr>
    </w:p>
    <w:p w14:paraId="76DBD6CE" w14:textId="77777777" w:rsidR="006D5829" w:rsidRPr="006D5829" w:rsidRDefault="006D5829" w:rsidP="00C23469">
      <w:pPr>
        <w:spacing w:after="0"/>
        <w:ind w:left="27" w:right="-15"/>
        <w:rPr>
          <w:b/>
          <w:bCs/>
        </w:rPr>
      </w:pPr>
      <w:r w:rsidRPr="006D5829">
        <w:rPr>
          <w:b/>
          <w:bCs/>
        </w:rPr>
        <w:t>Megfelelőség és alkalmasság nagy- és kis léptékű projektekhez</w:t>
      </w:r>
    </w:p>
    <w:p w14:paraId="3A5557EE" w14:textId="562A106B" w:rsidR="006D5829" w:rsidRDefault="006D5829" w:rsidP="00C23469">
      <w:pPr>
        <w:spacing w:after="0"/>
        <w:ind w:left="27" w:right="-15"/>
      </w:pPr>
      <w:r w:rsidRPr="006D5829">
        <w:t>A nagy és k</w:t>
      </w:r>
      <w:r>
        <w:t>ülönleges</w:t>
      </w:r>
      <w:r w:rsidRPr="006D5829">
        <w:t xml:space="preserve"> projektek mellett a</w:t>
      </w:r>
      <w:r>
        <w:t xml:space="preserve"> tervpályázato</w:t>
      </w:r>
      <w:r w:rsidRPr="006D5829">
        <w:t xml:space="preserve">k alkalmasak kisebb léptékű projektekre is, feltéve, hogy a szükséges elkötelezettség mind szervezők, mind résztvevők számára ésszerű. A kis projektek jelentős hatással vannak a </w:t>
      </w:r>
      <w:r>
        <w:t>hétköz</w:t>
      </w:r>
      <w:r w:rsidRPr="006D5829">
        <w:t>nap</w:t>
      </w:r>
      <w:r>
        <w:t>i</w:t>
      </w:r>
      <w:r w:rsidRPr="006D5829">
        <w:t xml:space="preserve"> épített környezetre, és jelentős részét teszik ki a</w:t>
      </w:r>
      <w:r w:rsidR="004C134D">
        <w:t xml:space="preserve"> helyi</w:t>
      </w:r>
      <w:r w:rsidRPr="006D5829">
        <w:t xml:space="preserve"> önkormányzati költségvetésnek.</w:t>
      </w:r>
    </w:p>
    <w:p w14:paraId="24E6CA21" w14:textId="77777777" w:rsidR="00812B69" w:rsidRDefault="00812B69" w:rsidP="00812B69">
      <w:pPr>
        <w:spacing w:after="160" w:line="278" w:lineRule="auto"/>
        <w:ind w:left="34" w:hanging="11"/>
        <w:jc w:val="left"/>
      </w:pPr>
    </w:p>
    <w:p w14:paraId="38A06961" w14:textId="57F4FEB4" w:rsidR="00812B69" w:rsidRPr="00812B69" w:rsidRDefault="00812B69" w:rsidP="00812B69">
      <w:pPr>
        <w:spacing w:after="0"/>
        <w:ind w:left="34" w:hanging="11"/>
        <w:jc w:val="left"/>
        <w:rPr>
          <w:b/>
          <w:bCs/>
        </w:rPr>
      </w:pPr>
      <w:r>
        <w:rPr>
          <w:b/>
          <w:bCs/>
        </w:rPr>
        <w:t>Tervpályázato</w:t>
      </w:r>
      <w:r w:rsidRPr="00812B69">
        <w:rPr>
          <w:b/>
          <w:bCs/>
        </w:rPr>
        <w:t>k innovációs mozgatórugók</w:t>
      </w:r>
    </w:p>
    <w:p w14:paraId="01BE8492" w14:textId="034C5F05" w:rsidR="00812B69" w:rsidRDefault="00812B69" w:rsidP="00812B69">
      <w:pPr>
        <w:spacing w:after="0"/>
        <w:ind w:left="34" w:hanging="11"/>
        <w:jc w:val="left"/>
      </w:pPr>
      <w:r w:rsidRPr="00812B69">
        <w:t xml:space="preserve">Az ACE és az UIA kiemeli az </w:t>
      </w:r>
      <w:r>
        <w:t>építész tervpályázato</w:t>
      </w:r>
      <w:r w:rsidRPr="00812B69">
        <w:t xml:space="preserve">k kulturális dimenzióját, valamint annak fontosságát, hogy olyan </w:t>
      </w:r>
      <w:r w:rsidR="008A4ACE">
        <w:t xml:space="preserve">kedvező </w:t>
      </w:r>
      <w:r w:rsidRPr="00812B69">
        <w:t xml:space="preserve">feltételeket biztosítsanak </w:t>
      </w:r>
      <w:r>
        <w:t xml:space="preserve">a részvevők </w:t>
      </w:r>
      <w:r w:rsidRPr="00812B69">
        <w:t>számukra, hogy betölt</w:t>
      </w:r>
      <w:r>
        <w:t>hes</w:t>
      </w:r>
      <w:r w:rsidRPr="00812B69">
        <w:t>sék innovációs mozgatórugói szerepüket.</w:t>
      </w:r>
    </w:p>
    <w:p w14:paraId="41AFD107" w14:textId="77777777" w:rsidR="00812B69" w:rsidRDefault="00812B69" w:rsidP="00812B69">
      <w:pPr>
        <w:spacing w:after="0" w:line="278" w:lineRule="auto"/>
        <w:ind w:left="34" w:hanging="11"/>
        <w:jc w:val="left"/>
      </w:pPr>
    </w:p>
    <w:p w14:paraId="6EB4F890" w14:textId="77777777" w:rsidR="00812B69" w:rsidRPr="00812B69" w:rsidRDefault="00812B69" w:rsidP="000C5647">
      <w:pPr>
        <w:spacing w:after="0"/>
        <w:ind w:left="34" w:hanging="11"/>
        <w:jc w:val="left"/>
        <w:rPr>
          <w:b/>
          <w:bCs/>
        </w:rPr>
      </w:pPr>
      <w:r w:rsidRPr="00812B69">
        <w:rPr>
          <w:b/>
          <w:bCs/>
        </w:rPr>
        <w:t>Akadálymentesség</w:t>
      </w:r>
    </w:p>
    <w:p w14:paraId="3BF4AF6F" w14:textId="21C45755" w:rsidR="00812B69" w:rsidRDefault="00812B69" w:rsidP="000C5647">
      <w:pPr>
        <w:spacing w:after="0"/>
        <w:ind w:left="34" w:hanging="11"/>
        <w:jc w:val="left"/>
      </w:pPr>
      <w:r w:rsidRPr="00812B69">
        <w:t xml:space="preserve">Az </w:t>
      </w:r>
      <w:r>
        <w:t>építész tervpályázatok</w:t>
      </w:r>
      <w:r w:rsidRPr="00812B69">
        <w:t>n</w:t>
      </w:r>
      <w:r>
        <w:t>a</w:t>
      </w:r>
      <w:r w:rsidRPr="00812B69">
        <w:t xml:space="preserve">k minden építész számára elérhetőnek kell lenniük, függetlenül a korábbi </w:t>
      </w:r>
      <w:r>
        <w:t>szakmai gyakorlatuktól</w:t>
      </w:r>
      <w:r w:rsidRPr="00812B69">
        <w:t xml:space="preserve"> vagy gazdasági </w:t>
      </w:r>
      <w:r>
        <w:t>lehetőségeik</w:t>
      </w:r>
      <w:r w:rsidRPr="00812B69">
        <w:t>t</w:t>
      </w:r>
      <w:r>
        <w:t>ő</w:t>
      </w:r>
      <w:r w:rsidRPr="00812B69">
        <w:t xml:space="preserve">l. Ez lehetővé teszi az innovációt és elősegíti a </w:t>
      </w:r>
      <w:r w:rsidR="008A4ACE">
        <w:t xml:space="preserve">szakmai </w:t>
      </w:r>
      <w:r w:rsidRPr="00812B69">
        <w:t xml:space="preserve">piacra való </w:t>
      </w:r>
      <w:r w:rsidR="008A4ACE">
        <w:t>belép</w:t>
      </w:r>
      <w:r w:rsidRPr="00812B69">
        <w:t xml:space="preserve">ést a feltörekvő tehetségek </w:t>
      </w:r>
      <w:r>
        <w:t xml:space="preserve">fiatal építészek </w:t>
      </w:r>
      <w:r w:rsidRPr="00812B69">
        <w:t>számára, miközben megőrzi a globális versenyképességet.</w:t>
      </w:r>
    </w:p>
    <w:p w14:paraId="0D323A98" w14:textId="77777777" w:rsidR="00812B69" w:rsidRDefault="00812B69" w:rsidP="00812B69">
      <w:pPr>
        <w:spacing w:after="0"/>
        <w:ind w:left="29" w:right="-17" w:hanging="6"/>
        <w:rPr>
          <w:b/>
        </w:rPr>
      </w:pPr>
    </w:p>
    <w:p w14:paraId="3603E3F9" w14:textId="77777777" w:rsidR="00812B69" w:rsidRDefault="00812B69" w:rsidP="00812B69">
      <w:pPr>
        <w:spacing w:after="0"/>
        <w:ind w:left="29" w:right="-17" w:hanging="6"/>
        <w:rPr>
          <w:b/>
        </w:rPr>
      </w:pPr>
      <w:r w:rsidRPr="00812B69">
        <w:rPr>
          <w:b/>
        </w:rPr>
        <w:t>Megfizethetőség</w:t>
      </w:r>
    </w:p>
    <w:p w14:paraId="568E8577" w14:textId="7537992A" w:rsidR="00812B69" w:rsidRPr="00812B69" w:rsidRDefault="00812B69" w:rsidP="00812B69">
      <w:pPr>
        <w:spacing w:after="0"/>
        <w:ind w:left="29" w:right="-17" w:hanging="6"/>
        <w:rPr>
          <w:bCs/>
        </w:rPr>
      </w:pPr>
      <w:r w:rsidRPr="00812B69">
        <w:rPr>
          <w:bCs/>
        </w:rPr>
        <w:t xml:space="preserve">A </w:t>
      </w:r>
      <w:r>
        <w:rPr>
          <w:bCs/>
        </w:rPr>
        <w:t xml:space="preserve">tervezési </w:t>
      </w:r>
      <w:r w:rsidRPr="00812B69">
        <w:rPr>
          <w:bCs/>
        </w:rPr>
        <w:t xml:space="preserve">program és a </w:t>
      </w:r>
      <w:r w:rsidR="008A4ACE">
        <w:rPr>
          <w:bCs/>
        </w:rPr>
        <w:t xml:space="preserve">tervezői </w:t>
      </w:r>
      <w:r w:rsidRPr="00812B69">
        <w:rPr>
          <w:bCs/>
        </w:rPr>
        <w:t>munka terjedelmének egyensúlya kulcsfontosságú tényező abban, hogy a</w:t>
      </w:r>
      <w:r>
        <w:rPr>
          <w:bCs/>
        </w:rPr>
        <w:t xml:space="preserve"> pályázato</w:t>
      </w:r>
      <w:r w:rsidRPr="00812B69">
        <w:rPr>
          <w:bCs/>
        </w:rPr>
        <w:t xml:space="preserve">k laboratóriumként szolgálhassanak a korunk összetett kihívásainak legjobb megoldásainak azonosítására. A </w:t>
      </w:r>
      <w:r>
        <w:rPr>
          <w:bCs/>
        </w:rPr>
        <w:t>pályázatokna</w:t>
      </w:r>
      <w:r w:rsidRPr="00812B69">
        <w:rPr>
          <w:bCs/>
        </w:rPr>
        <w:t xml:space="preserve">k idő- és költségarányos kell </w:t>
      </w:r>
      <w:r>
        <w:rPr>
          <w:bCs/>
        </w:rPr>
        <w:t>lenniü</w:t>
      </w:r>
      <w:r w:rsidRPr="00812B69">
        <w:rPr>
          <w:bCs/>
        </w:rPr>
        <w:t xml:space="preserve">k a résztvevők számára. A szakma jelentős </w:t>
      </w:r>
      <w:r w:rsidR="000C5647">
        <w:rPr>
          <w:bCs/>
        </w:rPr>
        <w:t>együttes</w:t>
      </w:r>
      <w:r w:rsidRPr="00812B69">
        <w:rPr>
          <w:bCs/>
        </w:rPr>
        <w:t xml:space="preserve"> erőfeszítést tesz a</w:t>
      </w:r>
      <w:r w:rsidR="000C5647">
        <w:rPr>
          <w:bCs/>
        </w:rPr>
        <w:t xml:space="preserve"> Kiíró-</w:t>
      </w:r>
      <w:r w:rsidRPr="00812B69">
        <w:rPr>
          <w:bCs/>
        </w:rPr>
        <w:t xml:space="preserve">ügyfél javára azáltal, hogy </w:t>
      </w:r>
      <w:r w:rsidR="000C5647">
        <w:rPr>
          <w:bCs/>
        </w:rPr>
        <w:t>általában</w:t>
      </w:r>
      <w:r w:rsidRPr="00812B69">
        <w:rPr>
          <w:bCs/>
        </w:rPr>
        <w:t xml:space="preserve"> saját költségén </w:t>
      </w:r>
      <w:r w:rsidR="000C5647">
        <w:rPr>
          <w:bCs/>
        </w:rPr>
        <w:t>tervpályázati terveket</w:t>
      </w:r>
      <w:r w:rsidRPr="00812B69">
        <w:rPr>
          <w:bCs/>
        </w:rPr>
        <w:t xml:space="preserve"> készít e</w:t>
      </w:r>
      <w:r w:rsidR="000C5647">
        <w:rPr>
          <w:bCs/>
        </w:rPr>
        <w:t>l</w:t>
      </w:r>
      <w:r w:rsidRPr="00812B69">
        <w:rPr>
          <w:bCs/>
        </w:rPr>
        <w:t>.</w:t>
      </w:r>
    </w:p>
    <w:p w14:paraId="6EB36846" w14:textId="77777777" w:rsidR="00812B69" w:rsidRDefault="00812B69" w:rsidP="00812B69">
      <w:pPr>
        <w:spacing w:after="0"/>
        <w:ind w:left="29" w:right="-17" w:hanging="6"/>
        <w:rPr>
          <w:b/>
        </w:rPr>
      </w:pPr>
    </w:p>
    <w:p w14:paraId="2B0DCE2E" w14:textId="77777777" w:rsidR="000C5647" w:rsidRDefault="000C5647" w:rsidP="00812B69">
      <w:pPr>
        <w:spacing w:after="0"/>
        <w:ind w:left="29" w:right="-17" w:hanging="6"/>
        <w:rPr>
          <w:b/>
        </w:rPr>
      </w:pPr>
      <w:r w:rsidRPr="000C5647">
        <w:rPr>
          <w:b/>
        </w:rPr>
        <w:t>Rugalmasság</w:t>
      </w:r>
    </w:p>
    <w:p w14:paraId="4F3A2C88" w14:textId="0649E9CC" w:rsidR="000C5647" w:rsidRDefault="000C5647" w:rsidP="00812B69">
      <w:pPr>
        <w:spacing w:after="0"/>
        <w:ind w:left="29" w:right="-17" w:hanging="6"/>
        <w:rPr>
          <w:bCs/>
        </w:rPr>
      </w:pPr>
      <w:r w:rsidRPr="000C5647">
        <w:rPr>
          <w:bCs/>
        </w:rPr>
        <w:t>A</w:t>
      </w:r>
      <w:r w:rsidRPr="000C5647">
        <w:rPr>
          <w:bCs/>
        </w:rPr>
        <w:t xml:space="preserve"> </w:t>
      </w:r>
      <w:r>
        <w:rPr>
          <w:bCs/>
        </w:rPr>
        <w:t>Kiírásnak</w:t>
      </w:r>
      <w:r w:rsidRPr="000C5647">
        <w:rPr>
          <w:bCs/>
        </w:rPr>
        <w:t xml:space="preserve"> és a </w:t>
      </w:r>
      <w:r>
        <w:rPr>
          <w:bCs/>
        </w:rPr>
        <w:t xml:space="preserve">tervezési </w:t>
      </w:r>
      <w:r w:rsidRPr="000C5647">
        <w:rPr>
          <w:bCs/>
        </w:rPr>
        <w:t>feladat</w:t>
      </w:r>
      <w:r>
        <w:rPr>
          <w:bCs/>
        </w:rPr>
        <w:t xml:space="preserve"> </w:t>
      </w:r>
      <w:r w:rsidRPr="000C5647">
        <w:rPr>
          <w:bCs/>
        </w:rPr>
        <w:t xml:space="preserve">leírásnak elegendő értelmezési szabadságot kell biztosítania a </w:t>
      </w:r>
      <w:r>
        <w:rPr>
          <w:bCs/>
        </w:rPr>
        <w:t>pályázóknak</w:t>
      </w:r>
      <w:r w:rsidRPr="000C5647">
        <w:rPr>
          <w:bCs/>
        </w:rPr>
        <w:t xml:space="preserve">, és nem diktálnia </w:t>
      </w:r>
      <w:r>
        <w:rPr>
          <w:bCs/>
        </w:rPr>
        <w:t xml:space="preserve">kell </w:t>
      </w:r>
      <w:r w:rsidRPr="000C5647">
        <w:rPr>
          <w:bCs/>
        </w:rPr>
        <w:t xml:space="preserve">a megoldást. A nyertes projekt a </w:t>
      </w:r>
      <w:r>
        <w:rPr>
          <w:bCs/>
        </w:rPr>
        <w:t>pályázat</w:t>
      </w:r>
      <w:r w:rsidRPr="000C5647">
        <w:rPr>
          <w:bCs/>
        </w:rPr>
        <w:t xml:space="preserve"> után tovább fejleszt</w:t>
      </w:r>
      <w:r>
        <w:rPr>
          <w:bCs/>
        </w:rPr>
        <w:t>endő</w:t>
      </w:r>
      <w:r w:rsidRPr="000C5647">
        <w:rPr>
          <w:bCs/>
        </w:rPr>
        <w:t>.</w:t>
      </w:r>
    </w:p>
    <w:p w14:paraId="630FD6AB" w14:textId="77777777" w:rsidR="000C5647" w:rsidRDefault="000C5647" w:rsidP="00812B69">
      <w:pPr>
        <w:spacing w:after="0"/>
        <w:ind w:left="29" w:right="-17" w:hanging="6"/>
        <w:rPr>
          <w:bCs/>
        </w:rPr>
      </w:pPr>
    </w:p>
    <w:p w14:paraId="570DCADF" w14:textId="5C434519" w:rsidR="000C5647" w:rsidRPr="000C5647" w:rsidRDefault="000C5647" w:rsidP="00812B69">
      <w:pPr>
        <w:spacing w:after="0"/>
        <w:ind w:left="29" w:right="-17" w:hanging="6"/>
        <w:rPr>
          <w:b/>
        </w:rPr>
      </w:pPr>
      <w:r w:rsidRPr="000C5647">
        <w:rPr>
          <w:b/>
        </w:rPr>
        <w:t xml:space="preserve">Az ACE és az UIA közösen ajánlja a tisztességes </w:t>
      </w:r>
      <w:r>
        <w:rPr>
          <w:b/>
        </w:rPr>
        <w:t>tervpályázato</w:t>
      </w:r>
      <w:r w:rsidRPr="000C5647">
        <w:rPr>
          <w:b/>
        </w:rPr>
        <w:t xml:space="preserve">k lebonyolítását és a </w:t>
      </w:r>
      <w:r>
        <w:rPr>
          <w:b/>
        </w:rPr>
        <w:t xml:space="preserve">tervpályázati </w:t>
      </w:r>
      <w:r w:rsidRPr="000C5647">
        <w:rPr>
          <w:b/>
        </w:rPr>
        <w:t>kultúra előmozdítását.</w:t>
      </w:r>
    </w:p>
    <w:sectPr w:rsidR="000C5647" w:rsidRPr="000C564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Restart w:val="eachPage"/>
      </w:footnotePr>
      <w:pgSz w:w="11906" w:h="16838"/>
      <w:pgMar w:top="321" w:right="1075" w:bottom="287" w:left="166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A2637" w14:textId="77777777" w:rsidR="00B75FC5" w:rsidRDefault="00B75FC5">
      <w:pPr>
        <w:spacing w:after="0" w:line="240" w:lineRule="auto"/>
      </w:pPr>
      <w:r>
        <w:separator/>
      </w:r>
    </w:p>
  </w:endnote>
  <w:endnote w:type="continuationSeparator" w:id="0">
    <w:p w14:paraId="1A4978F3" w14:textId="77777777" w:rsidR="00B75FC5" w:rsidRDefault="00B75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9C4FB" w14:textId="77777777" w:rsidR="006173DC" w:rsidRDefault="006173DC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73B61" w14:textId="77777777" w:rsidR="006173DC" w:rsidRPr="002C4AB3" w:rsidRDefault="006173DC" w:rsidP="002C4AB3">
    <w:pPr>
      <w:pStyle w:val="llb"/>
      <w:ind w:lef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98BD7" w14:textId="77777777" w:rsidR="006173DC" w:rsidRDefault="006173D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DEB4F" w14:textId="77777777" w:rsidR="00B75FC5" w:rsidRDefault="00B75FC5">
      <w:pPr>
        <w:spacing w:after="210" w:line="259" w:lineRule="auto"/>
        <w:ind w:left="35" w:firstLine="0"/>
        <w:jc w:val="left"/>
      </w:pPr>
      <w:r>
        <w:separator/>
      </w:r>
    </w:p>
  </w:footnote>
  <w:footnote w:type="continuationSeparator" w:id="0">
    <w:p w14:paraId="5A24A92D" w14:textId="77777777" w:rsidR="00B75FC5" w:rsidRDefault="00B75FC5">
      <w:pPr>
        <w:spacing w:after="210" w:line="259" w:lineRule="auto"/>
        <w:ind w:left="35" w:firstLine="0"/>
        <w:jc w:val="left"/>
      </w:pPr>
      <w:r>
        <w:continuationSeparator/>
      </w:r>
    </w:p>
  </w:footnote>
  <w:footnote w:id="1">
    <w:p w14:paraId="550C42E9" w14:textId="1E51B013" w:rsidR="006173DC" w:rsidRPr="006173DC" w:rsidRDefault="006173DC">
      <w:pPr>
        <w:pStyle w:val="Lbjegyzetszveg"/>
        <w:rPr>
          <w:i/>
          <w:iCs/>
        </w:rPr>
      </w:pPr>
      <w:r w:rsidRPr="006173DC">
        <w:rPr>
          <w:rStyle w:val="Lbjegyzet-hivatkozs"/>
          <w:i/>
          <w:iCs/>
        </w:rPr>
        <w:footnoteRef/>
      </w:r>
      <w:r w:rsidRPr="006173DC">
        <w:rPr>
          <w:i/>
          <w:iCs/>
        </w:rPr>
        <w:t xml:space="preserve"> </w:t>
      </w:r>
      <w:r w:rsidRPr="006173DC">
        <w:rPr>
          <w:i/>
          <w:iCs/>
          <w:sz w:val="16"/>
          <w:szCs w:val="16"/>
        </w:rPr>
        <w:t xml:space="preserve">Az ARCH-E </w:t>
      </w:r>
      <w:r w:rsidR="002C4AB3">
        <w:rPr>
          <w:i/>
          <w:iCs/>
          <w:sz w:val="16"/>
          <w:szCs w:val="16"/>
        </w:rPr>
        <w:t xml:space="preserve">Projekt </w:t>
      </w:r>
      <w:r w:rsidRPr="006173DC">
        <w:rPr>
          <w:i/>
          <w:iCs/>
          <w:sz w:val="16"/>
          <w:szCs w:val="16"/>
        </w:rPr>
        <w:t>keretein belül 40 tervpályázat összes adatának elemzése: Lásd ARCH-E Tanulmánykötet 2. fejezete</w:t>
      </w:r>
    </w:p>
  </w:footnote>
  <w:footnote w:id="2">
    <w:p w14:paraId="1E577430" w14:textId="70A42AA9" w:rsidR="004F25AA" w:rsidRPr="006173DC" w:rsidRDefault="004F25AA">
      <w:pPr>
        <w:pStyle w:val="Lbjegyzetszveg"/>
        <w:rPr>
          <w:i/>
          <w:iCs/>
          <w:sz w:val="16"/>
          <w:szCs w:val="16"/>
        </w:rPr>
      </w:pPr>
      <w:r w:rsidRPr="006173DC">
        <w:rPr>
          <w:rStyle w:val="Lbjegyzet-hivatkozs"/>
          <w:i/>
          <w:iCs/>
          <w:sz w:val="16"/>
          <w:szCs w:val="16"/>
        </w:rPr>
        <w:footnoteRef/>
      </w:r>
      <w:r w:rsidRPr="006173DC">
        <w:rPr>
          <w:i/>
          <w:iCs/>
          <w:sz w:val="16"/>
          <w:szCs w:val="16"/>
        </w:rPr>
        <w:t xml:space="preserve"> </w:t>
      </w:r>
      <w:r w:rsidR="006173DC" w:rsidRPr="006173DC">
        <w:rPr>
          <w:i/>
          <w:iCs/>
          <w:sz w:val="16"/>
          <w:szCs w:val="16"/>
        </w:rPr>
        <w:t>Egy átfogó tanulmány, amely 103 iskolai projektet hasonlít össze, amelyeket a CNAPPC (olasz Építész Kamara) különböző beszerzési formákon keresztül valósult meg, címe: A projekt után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C6490" w14:textId="77777777" w:rsidR="006173DC" w:rsidRDefault="006173DC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5103B" w14:textId="0A2F3C56" w:rsidR="006173DC" w:rsidRDefault="006173DC" w:rsidP="006173DC">
    <w:pPr>
      <w:tabs>
        <w:tab w:val="right" w:pos="9165"/>
      </w:tabs>
      <w:spacing w:after="8" w:line="265" w:lineRule="auto"/>
      <w:ind w:left="0" w:firstLine="0"/>
      <w:jc w:val="left"/>
      <w:rPr>
        <w:sz w:val="16"/>
        <w:u w:val="single" w:color="143E34"/>
      </w:rPr>
    </w:pPr>
    <w:proofErr w:type="spellStart"/>
    <w:r>
      <w:rPr>
        <w:b/>
        <w:sz w:val="16"/>
      </w:rPr>
      <w:t>Architects</w:t>
    </w:r>
    <w:proofErr w:type="spellEnd"/>
    <w:r>
      <w:rPr>
        <w:b/>
        <w:sz w:val="16"/>
      </w:rPr>
      <w:t xml:space="preserve">’ </w:t>
    </w:r>
    <w:proofErr w:type="spellStart"/>
    <w:r>
      <w:rPr>
        <w:b/>
        <w:sz w:val="16"/>
      </w:rPr>
      <w:t>Council</w:t>
    </w:r>
    <w:proofErr w:type="spellEnd"/>
    <w:r>
      <w:rPr>
        <w:b/>
        <w:sz w:val="16"/>
      </w:rPr>
      <w:t xml:space="preserve"> of Europe / Európai Építészek Tanácsa</w:t>
    </w:r>
    <w:r>
      <w:rPr>
        <w:b/>
        <w:sz w:val="16"/>
      </w:rPr>
      <w:tab/>
    </w:r>
    <w:proofErr w:type="spellStart"/>
    <w:r>
      <w:rPr>
        <w:sz w:val="16"/>
        <w:u w:val="single" w:color="143E34"/>
      </w:rPr>
      <w:t>Statement</w:t>
    </w:r>
    <w:proofErr w:type="spellEnd"/>
  </w:p>
  <w:p w14:paraId="65DC58F6" w14:textId="1E4EA3BB" w:rsidR="006173DC" w:rsidRPr="006173DC" w:rsidRDefault="006173DC" w:rsidP="006173DC">
    <w:pPr>
      <w:tabs>
        <w:tab w:val="right" w:pos="9165"/>
      </w:tabs>
      <w:spacing w:after="8" w:line="265" w:lineRule="auto"/>
      <w:ind w:left="0" w:firstLine="0"/>
      <w:jc w:val="left"/>
      <w:rPr>
        <w:bCs/>
        <w:sz w:val="16"/>
      </w:rPr>
    </w:pPr>
    <w:r>
      <w:rPr>
        <w:b/>
        <w:sz w:val="16"/>
      </w:rPr>
      <w:t xml:space="preserve">Union of International </w:t>
    </w:r>
    <w:proofErr w:type="spellStart"/>
    <w:r>
      <w:rPr>
        <w:b/>
        <w:sz w:val="16"/>
      </w:rPr>
      <w:t>Architects</w:t>
    </w:r>
    <w:proofErr w:type="spellEnd"/>
    <w:r>
      <w:rPr>
        <w:b/>
        <w:sz w:val="16"/>
      </w:rPr>
      <w:t xml:space="preserve"> / Építészek Nemzetközi Szervezete</w:t>
    </w:r>
    <w:r>
      <w:rPr>
        <w:b/>
        <w:sz w:val="16"/>
      </w:rPr>
      <w:tab/>
    </w:r>
    <w:r w:rsidRPr="006173DC">
      <w:rPr>
        <w:bCs/>
        <w:sz w:val="16"/>
      </w:rPr>
      <w:t>Nyilatkozat</w:t>
    </w:r>
  </w:p>
  <w:p w14:paraId="56B8B82F" w14:textId="545B2493" w:rsidR="006173DC" w:rsidRDefault="006173DC" w:rsidP="006173DC">
    <w:pPr>
      <w:pStyle w:val="lfej"/>
      <w:pBdr>
        <w:bottom w:val="single" w:sz="4" w:space="1" w:color="auto"/>
      </w:pBdr>
      <w:tabs>
        <w:tab w:val="clear" w:pos="4536"/>
        <w:tab w:val="clear" w:pos="9072"/>
        <w:tab w:val="left" w:pos="2688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E4B9E" w14:textId="77777777" w:rsidR="006173DC" w:rsidRDefault="006173DC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3F7"/>
    <w:rsid w:val="000615C3"/>
    <w:rsid w:val="000C5647"/>
    <w:rsid w:val="000D4A96"/>
    <w:rsid w:val="002C4AB3"/>
    <w:rsid w:val="004B277B"/>
    <w:rsid w:val="004C134D"/>
    <w:rsid w:val="004F25AA"/>
    <w:rsid w:val="005345A7"/>
    <w:rsid w:val="006173DC"/>
    <w:rsid w:val="00645F83"/>
    <w:rsid w:val="006D5829"/>
    <w:rsid w:val="00805D27"/>
    <w:rsid w:val="00812B69"/>
    <w:rsid w:val="008753F7"/>
    <w:rsid w:val="008A4ACE"/>
    <w:rsid w:val="00A77E1A"/>
    <w:rsid w:val="00AC3EC2"/>
    <w:rsid w:val="00B75FC5"/>
    <w:rsid w:val="00C23469"/>
    <w:rsid w:val="00D73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39E9D3"/>
  <w15:docId w15:val="{4DFB26D3-8807-45BD-B251-1D483747D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u-HU" w:eastAsia="hu-H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338" w:line="307" w:lineRule="auto"/>
      <w:ind w:left="30" w:hanging="5"/>
      <w:jc w:val="both"/>
    </w:pPr>
    <w:rPr>
      <w:rFonts w:ascii="Calibri" w:eastAsia="Calibri" w:hAnsi="Calibri" w:cs="Calibri"/>
      <w:color w:val="143E34"/>
      <w:sz w:val="22"/>
    </w:rPr>
  </w:style>
  <w:style w:type="paragraph" w:styleId="Cmsor1">
    <w:name w:val="heading 1"/>
    <w:next w:val="Norml"/>
    <w:link w:val="Cmsor1Char"/>
    <w:uiPriority w:val="9"/>
    <w:qFormat/>
    <w:pPr>
      <w:keepNext/>
      <w:keepLines/>
      <w:spacing w:after="50" w:line="259" w:lineRule="auto"/>
      <w:ind w:left="50" w:hanging="10"/>
      <w:outlineLvl w:val="0"/>
    </w:pPr>
    <w:rPr>
      <w:rFonts w:ascii="Calibri" w:eastAsia="Calibri" w:hAnsi="Calibri" w:cs="Calibri"/>
      <w:b/>
      <w:color w:val="143E34"/>
      <w:sz w:val="22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Pr>
      <w:rFonts w:ascii="Calibri" w:eastAsia="Calibri" w:hAnsi="Calibri" w:cs="Calibri"/>
      <w:b/>
      <w:color w:val="143E34"/>
      <w:sz w:val="22"/>
    </w:rPr>
  </w:style>
  <w:style w:type="paragraph" w:customStyle="1" w:styleId="footnotedescription">
    <w:name w:val="footnote description"/>
    <w:next w:val="Norml"/>
    <w:link w:val="footnotedescriptionChar"/>
    <w:hidden/>
    <w:pPr>
      <w:spacing w:after="105" w:line="259" w:lineRule="auto"/>
      <w:ind w:left="35"/>
    </w:pPr>
    <w:rPr>
      <w:rFonts w:ascii="Calibri" w:eastAsia="Calibri" w:hAnsi="Calibri" w:cs="Calibri"/>
      <w:i/>
      <w:color w:val="143E34"/>
      <w:sz w:val="12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i/>
      <w:color w:val="143E34"/>
      <w:sz w:val="12"/>
    </w:rPr>
  </w:style>
  <w:style w:type="character" w:customStyle="1" w:styleId="footnotemark">
    <w:name w:val="footnote mark"/>
    <w:hidden/>
    <w:rPr>
      <w:rFonts w:ascii="Calibri" w:eastAsia="Calibri" w:hAnsi="Calibri" w:cs="Calibri"/>
      <w:i/>
      <w:color w:val="143E34"/>
      <w:sz w:val="10"/>
      <w:vertAlign w:val="superscript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4F25AA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4F25AA"/>
    <w:rPr>
      <w:rFonts w:ascii="Calibri" w:eastAsia="Calibri" w:hAnsi="Calibri" w:cs="Calibri"/>
      <w:color w:val="143E34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4F25AA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6173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173DC"/>
    <w:rPr>
      <w:rFonts w:ascii="Calibri" w:eastAsia="Calibri" w:hAnsi="Calibri" w:cs="Calibri"/>
      <w:color w:val="143E34"/>
      <w:sz w:val="22"/>
    </w:rPr>
  </w:style>
  <w:style w:type="paragraph" w:styleId="llb">
    <w:name w:val="footer"/>
    <w:basedOn w:val="Norml"/>
    <w:link w:val="llbChar"/>
    <w:uiPriority w:val="99"/>
    <w:unhideWhenUsed/>
    <w:rsid w:val="006173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173DC"/>
    <w:rPr>
      <w:rFonts w:ascii="Calibri" w:eastAsia="Calibri" w:hAnsi="Calibri" w:cs="Calibri"/>
      <w:color w:val="143E34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image" Target="media/image20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70337D-EB11-4ED4-8771-3CB99BF49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565</Words>
  <Characters>3906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ULRICH Tamás Arch</dc:creator>
  <cp:keywords/>
  <cp:lastModifiedBy>MÉK Magyar Építész Kamara</cp:lastModifiedBy>
  <cp:revision>7</cp:revision>
  <dcterms:created xsi:type="dcterms:W3CDTF">2026-04-28T14:26:00Z</dcterms:created>
  <dcterms:modified xsi:type="dcterms:W3CDTF">2026-04-28T21:02:00Z</dcterms:modified>
</cp:coreProperties>
</file>