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F348" w14:textId="77777777" w:rsidR="00383051" w:rsidRPr="00C17BC1" w:rsidRDefault="009D1217" w:rsidP="00626E10">
      <w:pPr>
        <w:spacing w:before="60" w:after="60" w:line="240" w:lineRule="auto"/>
        <w:jc w:val="right"/>
        <w:rPr>
          <w:rFonts w:ascii="Arial Narrow" w:hAnsi="Arial Narrow"/>
          <w:b/>
        </w:rPr>
      </w:pPr>
      <w:r w:rsidRPr="00C17BC1">
        <w:rPr>
          <w:rFonts w:ascii="Arial Narrow" w:hAnsi="Arial Narrow"/>
          <w:b/>
        </w:rPr>
        <w:t>A Magyar Építész Kamara</w:t>
      </w:r>
    </w:p>
    <w:p w14:paraId="42D0EDFE" w14:textId="77777777" w:rsidR="009D1217" w:rsidRPr="00C17BC1" w:rsidRDefault="009B2602" w:rsidP="009B2602">
      <w:pPr>
        <w:pBdr>
          <w:bottom w:val="double" w:sz="4" w:space="1" w:color="auto"/>
        </w:pBdr>
        <w:spacing w:before="60" w:after="6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Tűzvédelmi Tagozatának ügyrendje</w:t>
      </w:r>
    </w:p>
    <w:p w14:paraId="64470522" w14:textId="77777777" w:rsidR="009D1217" w:rsidRPr="009D1217" w:rsidRDefault="009D1217" w:rsidP="00626E10">
      <w:pPr>
        <w:tabs>
          <w:tab w:val="left" w:pos="426"/>
        </w:tabs>
        <w:spacing w:before="60" w:after="60" w:line="240" w:lineRule="auto"/>
        <w:jc w:val="both"/>
        <w:rPr>
          <w:rFonts w:ascii="Arial Narrow" w:hAnsi="Arial Narrow"/>
        </w:rPr>
      </w:pPr>
    </w:p>
    <w:p w14:paraId="139CDDB8" w14:textId="357C1EBF" w:rsidR="009D1217" w:rsidRPr="009D1217" w:rsidRDefault="009D1217" w:rsidP="00626E10">
      <w:pPr>
        <w:tabs>
          <w:tab w:val="left" w:pos="426"/>
        </w:tabs>
        <w:spacing w:before="60" w:after="60" w:line="240" w:lineRule="auto"/>
        <w:jc w:val="both"/>
        <w:rPr>
          <w:rFonts w:ascii="Arial Narrow" w:hAnsi="Arial Narrow"/>
          <w:b/>
        </w:rPr>
      </w:pPr>
      <w:r w:rsidRPr="009D1217">
        <w:rPr>
          <w:rFonts w:ascii="Arial Narrow" w:hAnsi="Arial Narrow"/>
          <w:b/>
        </w:rPr>
        <w:t>1.</w:t>
      </w:r>
      <w:r w:rsidR="00113FF3">
        <w:rPr>
          <w:rFonts w:ascii="Arial Narrow" w:hAnsi="Arial Narrow"/>
          <w:b/>
        </w:rPr>
        <w:tab/>
      </w:r>
      <w:r w:rsidRPr="009D1217">
        <w:rPr>
          <w:rFonts w:ascii="Arial Narrow" w:hAnsi="Arial Narrow"/>
          <w:b/>
        </w:rPr>
        <w:t>A Tagozat</w:t>
      </w:r>
    </w:p>
    <w:p w14:paraId="03F292B2" w14:textId="77777777" w:rsidR="009D1217" w:rsidRPr="009D1217" w:rsidRDefault="009D1217" w:rsidP="00626E10">
      <w:pPr>
        <w:tabs>
          <w:tab w:val="left" w:pos="426"/>
        </w:tabs>
        <w:spacing w:before="60" w:after="60" w:line="240" w:lineRule="auto"/>
        <w:jc w:val="both"/>
        <w:rPr>
          <w:rFonts w:ascii="Arial Narrow" w:hAnsi="Arial Narrow"/>
        </w:rPr>
      </w:pPr>
    </w:p>
    <w:p w14:paraId="0BF268A5" w14:textId="77777777" w:rsidR="009D1217" w:rsidRPr="009D1217" w:rsidRDefault="009D1217" w:rsidP="00626E10">
      <w:pPr>
        <w:pStyle w:val="Listaszerbekezds"/>
        <w:numPr>
          <w:ilvl w:val="1"/>
          <w:numId w:val="2"/>
        </w:numPr>
        <w:tabs>
          <w:tab w:val="left" w:pos="426"/>
          <w:tab w:val="left" w:pos="851"/>
          <w:tab w:val="left" w:pos="2552"/>
        </w:tabs>
        <w:spacing w:before="60" w:after="60" w:line="240" w:lineRule="auto"/>
        <w:ind w:left="2552" w:hanging="2132"/>
        <w:contextualSpacing w:val="0"/>
        <w:jc w:val="both"/>
        <w:rPr>
          <w:rFonts w:ascii="Arial Narrow" w:hAnsi="Arial Narrow"/>
          <w:b/>
        </w:rPr>
      </w:pPr>
      <w:r w:rsidRPr="009D1217">
        <w:rPr>
          <w:rFonts w:ascii="Arial Narrow" w:hAnsi="Arial Narrow"/>
          <w:b/>
        </w:rPr>
        <w:t>megnevezése</w:t>
      </w:r>
      <w:r w:rsidRPr="009D1217">
        <w:rPr>
          <w:rFonts w:ascii="Arial Narrow" w:hAnsi="Arial Narrow"/>
          <w:b/>
        </w:rPr>
        <w:tab/>
        <w:t>Magyar Építész Kamara Tűzvédelmi Tagozata</w:t>
      </w:r>
    </w:p>
    <w:p w14:paraId="6DA53B56" w14:textId="77777777" w:rsidR="009D1217" w:rsidRPr="009D1217" w:rsidRDefault="009D1217" w:rsidP="00626E10">
      <w:pPr>
        <w:pStyle w:val="Listaszerbekezds"/>
        <w:numPr>
          <w:ilvl w:val="1"/>
          <w:numId w:val="2"/>
        </w:numPr>
        <w:tabs>
          <w:tab w:val="left" w:pos="426"/>
          <w:tab w:val="left" w:pos="851"/>
          <w:tab w:val="left" w:pos="2552"/>
        </w:tabs>
        <w:spacing w:before="60" w:after="60" w:line="240" w:lineRule="auto"/>
        <w:ind w:left="2552" w:hanging="2132"/>
        <w:contextualSpacing w:val="0"/>
        <w:jc w:val="both"/>
        <w:rPr>
          <w:rFonts w:ascii="Arial Narrow" w:hAnsi="Arial Narrow"/>
          <w:b/>
        </w:rPr>
      </w:pPr>
      <w:r w:rsidRPr="009D1217">
        <w:rPr>
          <w:rFonts w:ascii="Arial Narrow" w:hAnsi="Arial Narrow"/>
          <w:b/>
        </w:rPr>
        <w:t>levelezési címe</w:t>
      </w:r>
      <w:r w:rsidRPr="009D1217">
        <w:rPr>
          <w:rFonts w:ascii="Arial Narrow" w:hAnsi="Arial Narrow"/>
          <w:b/>
        </w:rPr>
        <w:tab/>
      </w:r>
      <w:r w:rsidRPr="009D1217">
        <w:rPr>
          <w:rFonts w:ascii="Arial Narrow" w:hAnsi="Arial Narrow"/>
        </w:rPr>
        <w:t>1088 Budapest, Ötpacsirta utca 2.</w:t>
      </w:r>
    </w:p>
    <w:p w14:paraId="76E23153" w14:textId="77777777" w:rsidR="009D1217" w:rsidRPr="00A16DBA" w:rsidRDefault="009D1217" w:rsidP="00626E10">
      <w:pPr>
        <w:pStyle w:val="Listaszerbekezds"/>
        <w:numPr>
          <w:ilvl w:val="1"/>
          <w:numId w:val="2"/>
        </w:numPr>
        <w:tabs>
          <w:tab w:val="left" w:pos="426"/>
          <w:tab w:val="left" w:pos="851"/>
          <w:tab w:val="left" w:pos="2552"/>
        </w:tabs>
        <w:spacing w:before="60" w:after="60" w:line="240" w:lineRule="auto"/>
        <w:ind w:left="2552" w:hanging="2132"/>
        <w:contextualSpacing w:val="0"/>
        <w:jc w:val="both"/>
        <w:rPr>
          <w:rFonts w:ascii="Arial Narrow" w:hAnsi="Arial Narrow"/>
          <w:b/>
        </w:rPr>
      </w:pPr>
      <w:r w:rsidRPr="009D1217">
        <w:rPr>
          <w:rFonts w:ascii="Arial Narrow" w:hAnsi="Arial Narrow"/>
          <w:b/>
        </w:rPr>
        <w:t xml:space="preserve">rendeltetése </w:t>
      </w:r>
      <w:r w:rsidRPr="009D1217">
        <w:rPr>
          <w:rFonts w:ascii="Arial Narrow" w:hAnsi="Arial Narrow"/>
          <w:b/>
        </w:rPr>
        <w:tab/>
      </w:r>
      <w:r w:rsidRPr="009D1217">
        <w:rPr>
          <w:rFonts w:ascii="Arial Narrow" w:hAnsi="Arial Narrow"/>
        </w:rPr>
        <w:t xml:space="preserve">A tűzvédelmi szakterület érdekeltségébe tartozó – jogi személyiséggel nem </w:t>
      </w:r>
      <w:r w:rsidRPr="00A16DBA">
        <w:rPr>
          <w:rFonts w:ascii="Arial Narrow" w:hAnsi="Arial Narrow"/>
        </w:rPr>
        <w:t>rendelkező – kamarai tagok országos érdekképviseleti szerve</w:t>
      </w:r>
    </w:p>
    <w:p w14:paraId="5E8B2A52" w14:textId="77777777" w:rsidR="009D1217" w:rsidRPr="00A16DBA" w:rsidRDefault="009D1217" w:rsidP="00626E10">
      <w:pPr>
        <w:pStyle w:val="Listaszerbekezds"/>
        <w:numPr>
          <w:ilvl w:val="1"/>
          <w:numId w:val="2"/>
        </w:numPr>
        <w:tabs>
          <w:tab w:val="left" w:pos="426"/>
          <w:tab w:val="left" w:pos="851"/>
          <w:tab w:val="left" w:pos="2552"/>
        </w:tabs>
        <w:spacing w:before="60" w:after="60" w:line="240" w:lineRule="auto"/>
        <w:ind w:left="2552" w:hanging="2132"/>
        <w:contextualSpacing w:val="0"/>
        <w:jc w:val="both"/>
        <w:rPr>
          <w:rFonts w:ascii="Arial Narrow" w:hAnsi="Arial Narrow"/>
          <w:b/>
        </w:rPr>
      </w:pPr>
      <w:r w:rsidRPr="00A16DBA">
        <w:rPr>
          <w:rFonts w:ascii="Arial Narrow" w:hAnsi="Arial Narrow"/>
          <w:b/>
        </w:rPr>
        <w:t>működési területe</w:t>
      </w:r>
      <w:r w:rsidRPr="00A16DBA">
        <w:rPr>
          <w:rFonts w:ascii="Arial Narrow" w:hAnsi="Arial Narrow"/>
          <w:b/>
        </w:rPr>
        <w:tab/>
      </w:r>
      <w:r w:rsidRPr="00A16DBA">
        <w:rPr>
          <w:rFonts w:ascii="Arial Narrow" w:hAnsi="Arial Narrow"/>
        </w:rPr>
        <w:t>azonos a Magyar Építész Kamara (továbbiakban: MÉK) működési területével</w:t>
      </w:r>
    </w:p>
    <w:p w14:paraId="1BE37EA8" w14:textId="77777777" w:rsidR="009D1217" w:rsidRPr="00A16DBA" w:rsidRDefault="009D1217" w:rsidP="00626E10">
      <w:pPr>
        <w:pStyle w:val="Listaszerbekezds"/>
        <w:numPr>
          <w:ilvl w:val="1"/>
          <w:numId w:val="2"/>
        </w:numPr>
        <w:tabs>
          <w:tab w:val="left" w:pos="426"/>
          <w:tab w:val="left" w:pos="851"/>
          <w:tab w:val="left" w:pos="2552"/>
        </w:tabs>
        <w:spacing w:before="60" w:after="60" w:line="240" w:lineRule="auto"/>
        <w:ind w:left="2552" w:hanging="2132"/>
        <w:contextualSpacing w:val="0"/>
        <w:jc w:val="both"/>
        <w:rPr>
          <w:rFonts w:ascii="Arial Narrow" w:hAnsi="Arial Narrow"/>
          <w:b/>
        </w:rPr>
      </w:pPr>
      <w:r w:rsidRPr="00A16DBA">
        <w:rPr>
          <w:rFonts w:ascii="Arial Narrow" w:hAnsi="Arial Narrow"/>
          <w:b/>
        </w:rPr>
        <w:t>hatásköre</w:t>
      </w:r>
      <w:r w:rsidRPr="00A16DBA">
        <w:rPr>
          <w:rFonts w:ascii="Arial Narrow" w:hAnsi="Arial Narrow"/>
          <w:b/>
        </w:rPr>
        <w:tab/>
      </w:r>
      <w:r w:rsidRPr="00A16DBA">
        <w:rPr>
          <w:rFonts w:ascii="Arial Narrow" w:hAnsi="Arial Narrow"/>
        </w:rPr>
        <w:t>a tűzvédelmi tervezési kamarai tevékenység szakmai felügyelete.</w:t>
      </w:r>
    </w:p>
    <w:p w14:paraId="017EB7F8" w14:textId="77777777" w:rsidR="009D1217" w:rsidRPr="00A16DBA" w:rsidRDefault="009D1217" w:rsidP="00626E10">
      <w:pPr>
        <w:tabs>
          <w:tab w:val="left" w:pos="426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75645CC3" w14:textId="77777777" w:rsidR="009D1217" w:rsidRPr="00A16DBA" w:rsidRDefault="009D1217" w:rsidP="00626E10">
      <w:pPr>
        <w:pStyle w:val="Listaszerbekezds"/>
        <w:numPr>
          <w:ilvl w:val="0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A16DBA">
        <w:rPr>
          <w:rFonts w:ascii="Arial Narrow" w:hAnsi="Arial Narrow"/>
          <w:b/>
        </w:rPr>
        <w:t>A Tűzvédelmi Tagozat működésének törvényi alapja</w:t>
      </w:r>
      <w:r w:rsidR="00A16DBA" w:rsidRPr="00A16DBA">
        <w:rPr>
          <w:rFonts w:ascii="Arial Narrow" w:hAnsi="Arial Narrow"/>
          <w:b/>
        </w:rPr>
        <w:t>i</w:t>
      </w:r>
    </w:p>
    <w:p w14:paraId="2647A379" w14:textId="77777777" w:rsidR="009D1217" w:rsidRPr="00A16DBA" w:rsidRDefault="009D1217" w:rsidP="00626E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ascii="Arial Narrow" w:eastAsia="ArialNarrow" w:hAnsi="Arial Narrow" w:cs="ArialNarrow"/>
        </w:rPr>
      </w:pPr>
      <w:r w:rsidRPr="00A16DBA">
        <w:rPr>
          <w:rFonts w:ascii="Arial Narrow" w:eastAsia="ArialNarrow" w:hAnsi="Arial Narrow" w:cs="ArialNarrow"/>
        </w:rPr>
        <w:t xml:space="preserve">A tervező </w:t>
      </w:r>
      <w:r w:rsidR="00D65693">
        <w:rPr>
          <w:rFonts w:ascii="Arial Narrow" w:eastAsia="ArialNarrow" w:hAnsi="Arial Narrow" w:cs="ArialNarrow"/>
        </w:rPr>
        <w:t>é</w:t>
      </w:r>
      <w:r w:rsidRPr="00A16DBA">
        <w:rPr>
          <w:rFonts w:ascii="Arial Narrow" w:eastAsia="ArialNarrow" w:hAnsi="Arial Narrow" w:cs="ArialNarrow"/>
        </w:rPr>
        <w:t>s szakértő mérnökök, valamint építészek szakmai kamaráiról szóló, többször módosított 1996. évi LVIII. T</w:t>
      </w:r>
      <w:r w:rsidR="00A16DBA" w:rsidRPr="00A16DBA">
        <w:rPr>
          <w:rFonts w:ascii="Arial Narrow" w:eastAsia="ArialNarrow" w:hAnsi="Arial Narrow" w:cs="ArialNarrow"/>
        </w:rPr>
        <w:t>ör</w:t>
      </w:r>
      <w:r w:rsidRPr="00A16DBA">
        <w:rPr>
          <w:rFonts w:ascii="Arial Narrow" w:eastAsia="ArialNarrow" w:hAnsi="Arial Narrow" w:cs="ArialNarrow"/>
        </w:rPr>
        <w:t>v</w:t>
      </w:r>
      <w:r w:rsidR="00A16DBA" w:rsidRPr="00A16DBA">
        <w:rPr>
          <w:rFonts w:ascii="Arial Narrow" w:eastAsia="ArialNarrow" w:hAnsi="Arial Narrow" w:cs="ArialNarrow"/>
        </w:rPr>
        <w:t>é</w:t>
      </w:r>
      <w:r w:rsidRPr="00A16DBA">
        <w:rPr>
          <w:rFonts w:ascii="Arial Narrow" w:eastAsia="ArialNarrow" w:hAnsi="Arial Narrow" w:cs="ArialNarrow"/>
        </w:rPr>
        <w:t xml:space="preserve">ny 2. § (4) bekezdése, </w:t>
      </w:r>
      <w:r w:rsidR="0061130E">
        <w:rPr>
          <w:rFonts w:ascii="Arial Narrow" w:eastAsia="ArialNarrow" w:hAnsi="Arial Narrow" w:cs="ArialNarrow"/>
        </w:rPr>
        <w:t>különösen annak</w:t>
      </w:r>
      <w:r w:rsidRPr="00A16DBA">
        <w:rPr>
          <w:rFonts w:ascii="Arial Narrow" w:eastAsia="ArialNarrow" w:hAnsi="Arial Narrow" w:cs="ArialNarrow"/>
        </w:rPr>
        <w:t xml:space="preserve"> 18. §-a, </w:t>
      </w:r>
    </w:p>
    <w:p w14:paraId="255716ED" w14:textId="77777777" w:rsidR="009D1217" w:rsidRPr="00A16DBA" w:rsidRDefault="009D1217" w:rsidP="00626E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ascii="Arial Narrow" w:eastAsia="ArialNarrow" w:hAnsi="Arial Narrow" w:cs="ArialNarrow"/>
        </w:rPr>
      </w:pPr>
      <w:r w:rsidRPr="00A16DBA">
        <w:rPr>
          <w:rFonts w:ascii="Arial Narrow" w:eastAsia="ArialNarrow" w:hAnsi="Arial Narrow" w:cs="ArialNarrow"/>
        </w:rPr>
        <w:t xml:space="preserve">A </w:t>
      </w:r>
      <w:r w:rsidRPr="00A16DBA">
        <w:rPr>
          <w:rFonts w:ascii="Arial Narrow" w:hAnsi="Arial Narrow"/>
        </w:rPr>
        <w:t xml:space="preserve">2011. évi CXXVIII. </w:t>
      </w:r>
      <w:r w:rsidR="00A16DBA" w:rsidRPr="00A16DBA">
        <w:rPr>
          <w:rFonts w:ascii="Arial Narrow" w:hAnsi="Arial Narrow"/>
        </w:rPr>
        <w:t>Katasztrófavédelmi Törvény 160.§</w:t>
      </w:r>
    </w:p>
    <w:p w14:paraId="19173DE5" w14:textId="77777777" w:rsidR="009D1217" w:rsidRPr="00A16DBA" w:rsidRDefault="009D1217" w:rsidP="00626E1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contextualSpacing w:val="0"/>
        <w:jc w:val="both"/>
        <w:rPr>
          <w:rFonts w:ascii="Arial Narrow" w:eastAsia="ArialNarrow" w:hAnsi="Arial Narrow" w:cs="ArialNarrow"/>
        </w:rPr>
      </w:pPr>
      <w:r w:rsidRPr="00A16DBA">
        <w:rPr>
          <w:rFonts w:ascii="Arial Narrow" w:eastAsia="ArialNarrow" w:hAnsi="Arial Narrow" w:cs="ArialNarrow"/>
        </w:rPr>
        <w:t>továbbá a M</w:t>
      </w:r>
      <w:r w:rsidR="00A16DBA" w:rsidRPr="00A16DBA">
        <w:rPr>
          <w:rFonts w:ascii="Arial Narrow" w:eastAsia="ArialNarrow" w:hAnsi="Arial Narrow" w:cs="ArialNarrow"/>
        </w:rPr>
        <w:t>É</w:t>
      </w:r>
      <w:r w:rsidRPr="00A16DBA">
        <w:rPr>
          <w:rFonts w:ascii="Arial Narrow" w:eastAsia="ArialNarrow" w:hAnsi="Arial Narrow" w:cs="ArialNarrow"/>
        </w:rPr>
        <w:t>K Alapszabálya.</w:t>
      </w:r>
    </w:p>
    <w:p w14:paraId="2BAE2BB8" w14:textId="77777777" w:rsidR="009D1217" w:rsidRPr="00A16DBA" w:rsidRDefault="009D1217" w:rsidP="00626E10">
      <w:pPr>
        <w:pStyle w:val="Listaszerbekezds"/>
        <w:tabs>
          <w:tab w:val="left" w:pos="426"/>
        </w:tabs>
        <w:spacing w:before="60" w:after="60" w:line="240" w:lineRule="auto"/>
        <w:ind w:left="360"/>
        <w:contextualSpacing w:val="0"/>
        <w:jc w:val="both"/>
        <w:rPr>
          <w:rFonts w:ascii="Arial Narrow" w:hAnsi="Arial Narrow"/>
          <w:b/>
        </w:rPr>
      </w:pPr>
    </w:p>
    <w:p w14:paraId="53D00E28" w14:textId="77777777" w:rsidR="003D1962" w:rsidRDefault="00A16DBA" w:rsidP="00626E10">
      <w:pPr>
        <w:pStyle w:val="Listaszerbekezds"/>
        <w:numPr>
          <w:ilvl w:val="0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</w:t>
      </w:r>
      <w:r w:rsidRPr="00A16DBA">
        <w:rPr>
          <w:rFonts w:ascii="Arial Narrow" w:hAnsi="Arial Narrow"/>
          <w:b/>
        </w:rPr>
        <w:t>Tűzvédelmi Tagozat</w:t>
      </w:r>
      <w:r w:rsidR="003D1962">
        <w:rPr>
          <w:rFonts w:ascii="Arial Narrow" w:hAnsi="Arial Narrow"/>
          <w:b/>
        </w:rPr>
        <w:t xml:space="preserve"> jogállása, felügyelete</w:t>
      </w:r>
    </w:p>
    <w:p w14:paraId="6FBBE5FA" w14:textId="77777777" w:rsidR="003D1962" w:rsidRDefault="003D1962" w:rsidP="00626E10">
      <w:pPr>
        <w:pStyle w:val="Listaszerbekezds"/>
        <w:tabs>
          <w:tab w:val="left" w:pos="426"/>
        </w:tabs>
        <w:spacing w:before="60" w:after="60" w:line="240" w:lineRule="auto"/>
        <w:ind w:left="360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Tűzvédelmi Tagozat tevékenységét a MÉK szervezetén belül, a MÉK Alapszabályában az önálló szakmai tagozatokra meghatározott jogkör szerint gyakorolja.</w:t>
      </w:r>
    </w:p>
    <w:p w14:paraId="167292AC" w14:textId="77777777" w:rsidR="003D1962" w:rsidRDefault="003D1962" w:rsidP="00626E10">
      <w:pPr>
        <w:pStyle w:val="Listaszerbekezds"/>
        <w:tabs>
          <w:tab w:val="left" w:pos="426"/>
        </w:tabs>
        <w:spacing w:before="60" w:after="60" w:line="240" w:lineRule="auto"/>
        <w:ind w:left="360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Tűzvédelmi Tagozat felügyeleti szervei:</w:t>
      </w:r>
    </w:p>
    <w:p w14:paraId="447184DC" w14:textId="77777777" w:rsidR="003D1962" w:rsidRDefault="003D1962" w:rsidP="00626E10">
      <w:pPr>
        <w:pStyle w:val="Listaszerbekezds"/>
        <w:numPr>
          <w:ilvl w:val="0"/>
          <w:numId w:val="5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MÉK Küldöttgyűlése</w:t>
      </w:r>
    </w:p>
    <w:p w14:paraId="5202C47D" w14:textId="77777777" w:rsidR="003D1962" w:rsidRDefault="003D1962" w:rsidP="00626E10">
      <w:pPr>
        <w:pStyle w:val="Listaszerbekezds"/>
        <w:numPr>
          <w:ilvl w:val="0"/>
          <w:numId w:val="5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MÉK Elnöksége</w:t>
      </w:r>
    </w:p>
    <w:p w14:paraId="4F38BDB6" w14:textId="77777777" w:rsidR="003D1962" w:rsidRPr="003D1962" w:rsidRDefault="003D1962" w:rsidP="00626E10">
      <w:pPr>
        <w:pStyle w:val="Listaszerbekezds"/>
        <w:numPr>
          <w:ilvl w:val="0"/>
          <w:numId w:val="5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MÉK Felügyelő Bizottsága</w:t>
      </w:r>
    </w:p>
    <w:p w14:paraId="4ED2C1D6" w14:textId="77777777" w:rsidR="003D1962" w:rsidRDefault="003D1962" w:rsidP="00626E10">
      <w:pPr>
        <w:pStyle w:val="Listaszerbekezds"/>
        <w:tabs>
          <w:tab w:val="left" w:pos="426"/>
        </w:tabs>
        <w:spacing w:before="60" w:after="60" w:line="240" w:lineRule="auto"/>
        <w:ind w:left="360"/>
        <w:contextualSpacing w:val="0"/>
        <w:jc w:val="both"/>
        <w:rPr>
          <w:rFonts w:ascii="Arial Narrow" w:hAnsi="Arial Narrow"/>
          <w:b/>
        </w:rPr>
      </w:pPr>
    </w:p>
    <w:p w14:paraId="06631CF7" w14:textId="77777777" w:rsidR="009D1217" w:rsidRDefault="003D1962" w:rsidP="00626E10">
      <w:pPr>
        <w:pStyle w:val="Listaszerbekezds"/>
        <w:numPr>
          <w:ilvl w:val="0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Tűzvédelm</w:t>
      </w:r>
      <w:r w:rsidR="008D4098">
        <w:rPr>
          <w:rFonts w:ascii="Arial Narrow" w:hAnsi="Arial Narrow"/>
          <w:b/>
        </w:rPr>
        <w:t>i</w:t>
      </w:r>
      <w:r w:rsidRPr="00A16DBA">
        <w:rPr>
          <w:rFonts w:ascii="Arial Narrow" w:hAnsi="Arial Narrow"/>
          <w:b/>
        </w:rPr>
        <w:t xml:space="preserve"> Tagozat</w:t>
      </w:r>
      <w:r>
        <w:rPr>
          <w:rFonts w:ascii="Arial Narrow" w:hAnsi="Arial Narrow"/>
          <w:b/>
        </w:rPr>
        <w:t xml:space="preserve"> céljai, feladatai és jogköre</w:t>
      </w:r>
    </w:p>
    <w:p w14:paraId="235AEAA0" w14:textId="77777777" w:rsidR="003D1962" w:rsidRDefault="003D1962" w:rsidP="00626E10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</w:t>
      </w:r>
      <w:r w:rsidRPr="00A16DBA">
        <w:rPr>
          <w:rFonts w:ascii="Arial Narrow" w:hAnsi="Arial Narrow"/>
          <w:b/>
        </w:rPr>
        <w:t>Tűzvédelmi Tagozat</w:t>
      </w:r>
      <w:r>
        <w:rPr>
          <w:rFonts w:ascii="Arial Narrow" w:hAnsi="Arial Narrow"/>
          <w:b/>
        </w:rPr>
        <w:t xml:space="preserve"> célja:</w:t>
      </w:r>
    </w:p>
    <w:p w14:paraId="71E7CD1F" w14:textId="77777777" w:rsidR="003D1962" w:rsidRDefault="003D1962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D1962">
        <w:rPr>
          <w:rFonts w:ascii="Arial Narrow" w:hAnsi="Arial Narrow"/>
        </w:rPr>
        <w:t>a tűzvédelmi szakmagyakorlás közérdekűségét szem előtt tartó fejlesztésének elősegítése</w:t>
      </w:r>
      <w:r>
        <w:rPr>
          <w:rFonts w:ascii="Arial Narrow" w:hAnsi="Arial Narrow"/>
          <w:b/>
        </w:rPr>
        <w:t>;</w:t>
      </w:r>
    </w:p>
    <w:p w14:paraId="64B505A9" w14:textId="77777777" w:rsidR="003D1962" w:rsidRDefault="003D1962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D1962">
        <w:rPr>
          <w:rFonts w:ascii="Arial Narrow" w:hAnsi="Arial Narrow"/>
        </w:rPr>
        <w:t>a tűzvédelmi tervezési tevékenység jogszerűségének biztosítása</w:t>
      </w:r>
      <w:r>
        <w:rPr>
          <w:rFonts w:ascii="Arial Narrow" w:hAnsi="Arial Narrow"/>
          <w:b/>
        </w:rPr>
        <w:t>,</w:t>
      </w:r>
    </w:p>
    <w:p w14:paraId="0FA717B6" w14:textId="77777777" w:rsidR="003D1962" w:rsidRDefault="003D1962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F94499">
        <w:rPr>
          <w:rFonts w:ascii="Arial Narrow" w:hAnsi="Arial Narrow"/>
        </w:rPr>
        <w:t>a</w:t>
      </w:r>
      <w:r>
        <w:rPr>
          <w:rFonts w:ascii="Arial Narrow" w:hAnsi="Arial Narrow"/>
          <w:b/>
        </w:rPr>
        <w:t xml:space="preserve"> </w:t>
      </w:r>
      <w:r w:rsidRPr="003D1962">
        <w:rPr>
          <w:rFonts w:ascii="Arial Narrow" w:hAnsi="Arial Narrow"/>
        </w:rPr>
        <w:t>szakmai munkában a tagok szakmai szempontú érdekeinek érvényesítése</w:t>
      </w:r>
      <w:r>
        <w:rPr>
          <w:rFonts w:ascii="Arial Narrow" w:hAnsi="Arial Narrow"/>
          <w:b/>
        </w:rPr>
        <w:t>,</w:t>
      </w:r>
    </w:p>
    <w:p w14:paraId="18456980" w14:textId="77777777" w:rsidR="003D1962" w:rsidRPr="00F94499" w:rsidRDefault="003D1962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D1962">
        <w:rPr>
          <w:rFonts w:ascii="Arial Narrow" w:hAnsi="Arial Narrow"/>
        </w:rPr>
        <w:t xml:space="preserve">a </w:t>
      </w:r>
      <w:r w:rsidRPr="00F94499">
        <w:rPr>
          <w:rFonts w:ascii="Arial Narrow" w:hAnsi="Arial Narrow"/>
        </w:rPr>
        <w:t>szakmai tevékenység általános színvonalának emelése</w:t>
      </w:r>
      <w:r w:rsidR="00F94499" w:rsidRPr="00F94499">
        <w:rPr>
          <w:rFonts w:ascii="Arial Narrow" w:hAnsi="Arial Narrow"/>
        </w:rPr>
        <w:t xml:space="preserve">, a szakmai közvélemény alakítása, </w:t>
      </w:r>
    </w:p>
    <w:p w14:paraId="39ED18CF" w14:textId="77777777" w:rsidR="003D1962" w:rsidRPr="00F94499" w:rsidRDefault="003D1962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F94499">
        <w:rPr>
          <w:rFonts w:ascii="Arial Narrow" w:hAnsi="Arial Narrow"/>
        </w:rPr>
        <w:t>a szakmagyakorlást megalapozó képzésekkel szemben támasztott elvárások megfogalmazása</w:t>
      </w:r>
      <w:r w:rsidR="00F94499" w:rsidRPr="00F94499">
        <w:rPr>
          <w:rFonts w:ascii="Arial Narrow" w:hAnsi="Arial Narrow"/>
          <w:b/>
        </w:rPr>
        <w:t>;</w:t>
      </w:r>
    </w:p>
    <w:p w14:paraId="57DD97B6" w14:textId="77777777" w:rsidR="00F94499" w:rsidRPr="00F94499" w:rsidRDefault="00F94499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F94499">
        <w:rPr>
          <w:rFonts w:ascii="Arial Narrow" w:hAnsi="Arial Narrow" w:cs="Arial"/>
          <w:bCs/>
        </w:rPr>
        <w:t>figyelemmel kíséri, és következetesen szankcionálja a jogosulatlan, illetve hibás tevékenység gyakorlását;</w:t>
      </w:r>
    </w:p>
    <w:p w14:paraId="6B120B23" w14:textId="77777777" w:rsidR="00F94499" w:rsidRPr="00F94499" w:rsidRDefault="00F94499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F94499">
        <w:rPr>
          <w:rFonts w:ascii="Arial Narrow" w:hAnsi="Arial Narrow" w:cs="Arial"/>
          <w:bCs/>
        </w:rPr>
        <w:t>kapcsolattartás a MMK Tűzvédelmi Tagozatával.</w:t>
      </w:r>
    </w:p>
    <w:p w14:paraId="2E423EBE" w14:textId="77777777" w:rsidR="00113FF3" w:rsidRPr="00F94499" w:rsidRDefault="00113FF3" w:rsidP="00626E10">
      <w:pPr>
        <w:pStyle w:val="Listaszerbekezds"/>
        <w:tabs>
          <w:tab w:val="left" w:pos="426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</w:p>
    <w:p w14:paraId="3E6DD0C5" w14:textId="77777777" w:rsidR="00F94499" w:rsidRPr="00F94499" w:rsidRDefault="00F94499" w:rsidP="00626E10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</w:t>
      </w:r>
      <w:r w:rsidRPr="00F94499">
        <w:rPr>
          <w:rFonts w:ascii="Arial Narrow" w:hAnsi="Arial Narrow"/>
          <w:b/>
        </w:rPr>
        <w:t>Tűzvédelmi Tagozat érdekeltségébe tartozó szakterületek</w:t>
      </w:r>
    </w:p>
    <w:p w14:paraId="15EEF5ED" w14:textId="77777777" w:rsidR="00F94499" w:rsidRDefault="00F94499" w:rsidP="00F94499">
      <w:pPr>
        <w:pStyle w:val="Listaszerbekezds"/>
        <w:ind w:left="780"/>
        <w:jc w:val="both"/>
        <w:rPr>
          <w:rFonts w:ascii="Arial Narrow" w:hAnsi="Arial Narrow" w:cs="Arial"/>
        </w:rPr>
      </w:pPr>
      <w:r w:rsidRPr="00F94499">
        <w:rPr>
          <w:rFonts w:ascii="Arial Narrow" w:hAnsi="Arial Narrow" w:cs="Arial"/>
        </w:rPr>
        <w:t>Építmény (építmény, építményrész, építmény együttes), külön jogszabály szerinti építésügyi hatósági (létesítési, használatba vételi) engedélyezéséhez és műszaki megvalósításához (kivitelezéséhez) szükséges tűzvédelmi tervezői, szakértői tevékenység</w:t>
      </w:r>
      <w:r>
        <w:rPr>
          <w:rFonts w:ascii="Arial Narrow" w:hAnsi="Arial Narrow" w:cs="Arial"/>
        </w:rPr>
        <w:t>, b</w:t>
      </w:r>
      <w:r w:rsidRPr="00F94499">
        <w:rPr>
          <w:rFonts w:ascii="Arial Narrow" w:hAnsi="Arial Narrow" w:cs="Arial"/>
        </w:rPr>
        <w:t xml:space="preserve">eleértve különösen az építmények tűzvédelmi koncepciójának átfogó, valamint e koncepció érvényre juttatásához szükséges elemek, szerkezetek, berendezések, valamint műszaki megoldások tűzvédelmi tervezését, illetve ezzel kapcsolatban a </w:t>
      </w:r>
      <w:r w:rsidRPr="00F94499">
        <w:rPr>
          <w:rFonts w:ascii="Arial Narrow" w:hAnsi="Arial Narrow" w:cs="Arial"/>
        </w:rPr>
        <w:lastRenderedPageBreak/>
        <w:t>szaktervezőkkel való kapcsolattartás, együttműködés, adatszolgáltatás révén a tevékenységek tűzvédelmi jellegű összehangolását. Nem tárgya a Tűzvédelmi Tagozat tevékenységének a beépített tűzvédelmi berendezések szaktervezése, de tárgya ezen szaktervek koordinálása a tűzvédelmi koncepció alapján.</w:t>
      </w:r>
    </w:p>
    <w:p w14:paraId="0B5D4F35" w14:textId="77777777" w:rsidR="00F94499" w:rsidRDefault="00F94499" w:rsidP="00F94499">
      <w:pPr>
        <w:pStyle w:val="Listaszerbekezds"/>
        <w:ind w:left="780"/>
        <w:jc w:val="both"/>
        <w:rPr>
          <w:rFonts w:ascii="Arial Narrow" w:hAnsi="Arial Narrow" w:cs="Arial"/>
        </w:rPr>
      </w:pPr>
    </w:p>
    <w:p w14:paraId="15B44A05" w14:textId="77777777" w:rsidR="00F94499" w:rsidRPr="00F94499" w:rsidRDefault="00F94499" w:rsidP="00F94499">
      <w:pPr>
        <w:pStyle w:val="Listaszerbekezds"/>
        <w:ind w:left="780"/>
        <w:jc w:val="both"/>
        <w:rPr>
          <w:rFonts w:ascii="Arial Narrow" w:hAnsi="Arial Narrow" w:cs="Arial"/>
        </w:rPr>
      </w:pPr>
      <w:r w:rsidRPr="00F94499">
        <w:rPr>
          <w:rFonts w:ascii="Arial Narrow" w:hAnsi="Arial Narrow" w:cs="Arial"/>
          <w:bCs/>
        </w:rPr>
        <w:t>A felsorolt szakterületek feladatainak</w:t>
      </w:r>
      <w:r w:rsidRPr="00F94499">
        <w:rPr>
          <w:rFonts w:ascii="Arial Narrow" w:hAnsi="Arial Narrow" w:cs="Arial"/>
          <w:b/>
          <w:color w:val="000000"/>
        </w:rPr>
        <w:t xml:space="preserve"> </w:t>
      </w:r>
      <w:r w:rsidRPr="00F94499">
        <w:rPr>
          <w:rFonts w:ascii="Arial Narrow" w:hAnsi="Arial Narrow" w:cs="Arial"/>
          <w:bCs/>
          <w:color w:val="000000"/>
        </w:rPr>
        <w:t xml:space="preserve">tervezése, szakértése, </w:t>
      </w:r>
      <w:r w:rsidRPr="00253774">
        <w:rPr>
          <w:rFonts w:ascii="Arial Narrow" w:hAnsi="Arial Narrow" w:cs="Arial"/>
          <w:bCs/>
          <w:color w:val="000000"/>
        </w:rPr>
        <w:t>tervellenőrzése,</w:t>
      </w:r>
      <w:r w:rsidRPr="00F94499">
        <w:rPr>
          <w:rFonts w:ascii="Arial Narrow" w:hAnsi="Arial Narrow" w:cs="Arial"/>
          <w:bCs/>
          <w:color w:val="000000"/>
        </w:rPr>
        <w:t xml:space="preserve"> </w:t>
      </w:r>
      <w:r w:rsidRPr="00F94499">
        <w:rPr>
          <w:rFonts w:ascii="Arial Narrow" w:hAnsi="Arial Narrow" w:cs="Arial"/>
          <w:bCs/>
        </w:rPr>
        <w:t xml:space="preserve">valamint a felsorolt szakterületek </w:t>
      </w:r>
      <w:r>
        <w:rPr>
          <w:rFonts w:ascii="Arial Narrow" w:hAnsi="Arial Narrow" w:cs="Arial"/>
          <w:bCs/>
        </w:rPr>
        <w:t xml:space="preserve">tűzvédelmi </w:t>
      </w:r>
      <w:r w:rsidRPr="00F94499">
        <w:rPr>
          <w:rFonts w:ascii="Arial Narrow" w:hAnsi="Arial Narrow" w:cs="Arial"/>
          <w:bCs/>
        </w:rPr>
        <w:t>mérnöki tevékenységei: beruházás, felelős műszaki vezetés, műszaki ellenőrzés, építés-kivitelezés, létesítményüzemeltetés, építési-, illetve építőipari tűzvédelmi kutatás, fejlesztés, tűzvédelmi mérnöki tevékenységek oktatása, továbbá megvalósult építmények, beépített tűzvédelmi berendezések szakterülethez igazodó minőség ellenőrzése, felülvizsgálata.</w:t>
      </w:r>
    </w:p>
    <w:p w14:paraId="40886A46" w14:textId="77777777" w:rsidR="00F94499" w:rsidRPr="00F94499" w:rsidRDefault="00F94499" w:rsidP="00F94499">
      <w:pPr>
        <w:pStyle w:val="Listaszerbekezds"/>
        <w:tabs>
          <w:tab w:val="left" w:pos="426"/>
        </w:tabs>
        <w:spacing w:before="60" w:after="60" w:line="240" w:lineRule="auto"/>
        <w:ind w:left="780"/>
        <w:contextualSpacing w:val="0"/>
        <w:jc w:val="both"/>
        <w:rPr>
          <w:rFonts w:ascii="Arial Narrow" w:hAnsi="Arial Narrow"/>
          <w:b/>
        </w:rPr>
      </w:pPr>
    </w:p>
    <w:p w14:paraId="4C61CBB5" w14:textId="77777777" w:rsidR="003D1962" w:rsidRDefault="003D1962" w:rsidP="00626E10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F94499">
        <w:rPr>
          <w:rFonts w:ascii="Arial Narrow" w:hAnsi="Arial Narrow"/>
          <w:b/>
        </w:rPr>
        <w:t>A Tűzvédelmi Tagozat</w:t>
      </w:r>
      <w:r>
        <w:rPr>
          <w:rFonts w:ascii="Arial Narrow" w:hAnsi="Arial Narrow"/>
          <w:b/>
        </w:rPr>
        <w:t xml:space="preserve"> a fentiek érdekében a következő feladatokat látja el: </w:t>
      </w:r>
    </w:p>
    <w:p w14:paraId="5ED0B525" w14:textId="1391747D" w:rsidR="003D1962" w:rsidRPr="00113FF3" w:rsidRDefault="00EA3019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közreműködik a tűzvédelmi területre vonatkozó jogszabályok és hazai szabványok előkészítésében, továbbá véleményezi az egyeztetési szakaszban lévő, előkészített jogszabályokat</w:t>
      </w:r>
      <w:r w:rsidRPr="00113FF3">
        <w:rPr>
          <w:rFonts w:ascii="Arial Narrow" w:hAnsi="Arial Narrow"/>
          <w:b/>
        </w:rPr>
        <w:t xml:space="preserve">, </w:t>
      </w:r>
      <w:r w:rsidRPr="00113FF3">
        <w:rPr>
          <w:rFonts w:ascii="Arial Narrow" w:hAnsi="Arial Narrow"/>
        </w:rPr>
        <w:t>szabványokat</w:t>
      </w:r>
      <w:r w:rsidR="006F1CC8">
        <w:rPr>
          <w:rFonts w:ascii="Arial Narrow" w:hAnsi="Arial Narrow"/>
        </w:rPr>
        <w:t>,</w:t>
      </w:r>
    </w:p>
    <w:p w14:paraId="07C236D8" w14:textId="4E2EA8B1" w:rsidR="00EA3019" w:rsidRDefault="00EA3019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 xml:space="preserve">irányelveket </w:t>
      </w:r>
      <w:proofErr w:type="spellStart"/>
      <w:r w:rsidRPr="00113FF3">
        <w:rPr>
          <w:rFonts w:ascii="Arial Narrow" w:hAnsi="Arial Narrow"/>
        </w:rPr>
        <w:t>dolgoz</w:t>
      </w:r>
      <w:proofErr w:type="spellEnd"/>
      <w:r w:rsidRPr="00113FF3">
        <w:rPr>
          <w:rFonts w:ascii="Arial Narrow" w:hAnsi="Arial Narrow"/>
        </w:rPr>
        <w:t xml:space="preserve"> ki azon tűzvédelmi szakterületekre, amelyekre nincs vagy nem szükséges szabványokat kiadni</w:t>
      </w:r>
      <w:r w:rsidR="006F1CC8">
        <w:rPr>
          <w:rFonts w:ascii="Arial Narrow" w:hAnsi="Arial Narrow"/>
        </w:rPr>
        <w:t>,</w:t>
      </w:r>
    </w:p>
    <w:p w14:paraId="40BEAD3F" w14:textId="77777777" w:rsidR="00EA3019" w:rsidRDefault="00EA3019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támogatja a tevékenységet gyakorló kamarai tagok hivatásgyakorlását, közreműködik a fiatal szakemberek szakmai felkészítésében, gyakorlati képzésében, közreműködik a tagozatba belépni kívánó kamarai tagok jogosultsági vizsgára felkészítésében</w:t>
      </w:r>
      <w:r>
        <w:rPr>
          <w:rFonts w:ascii="Arial Narrow" w:hAnsi="Arial Narrow"/>
          <w:b/>
        </w:rPr>
        <w:t>,</w:t>
      </w:r>
    </w:p>
    <w:p w14:paraId="6E092D3D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véleményezi és ajánlásokkal segíti az oktatási intézmények képzési céljait és a képzések tematikáját, a leadott tananyagot, ajánlásokkal segíti a MÉK oktatással kapcsolatos állásfoglalásait, a szakmai továbbképzési célokat, tartalmakat és mindezekhez tartozó képesítési követelmények viszonyát</w:t>
      </w:r>
      <w:r>
        <w:rPr>
          <w:rFonts w:ascii="Arial Narrow" w:hAnsi="Arial Narrow"/>
          <w:b/>
        </w:rPr>
        <w:t xml:space="preserve">, </w:t>
      </w:r>
    </w:p>
    <w:p w14:paraId="711977D1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közreműködik a hatáskörét érintő kamarai szabályzatok megalkotásában és naprakészen tartásában</w:t>
      </w:r>
      <w:r>
        <w:rPr>
          <w:rFonts w:ascii="Arial Narrow" w:hAnsi="Arial Narrow"/>
          <w:b/>
        </w:rPr>
        <w:t xml:space="preserve">, </w:t>
      </w:r>
    </w:p>
    <w:p w14:paraId="79167419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a hatáskörét érintő kérdésekben saját kezdeményezésében önálló javaslatokat készít a MÉK Elnöksége számára, illetve előzetesen véleményezi a MÉK Elnöksége elé kerülő javaslatokat</w:t>
      </w:r>
      <w:r>
        <w:rPr>
          <w:rFonts w:ascii="Arial Narrow" w:hAnsi="Arial Narrow"/>
          <w:b/>
        </w:rPr>
        <w:t xml:space="preserve">, </w:t>
      </w:r>
    </w:p>
    <w:p w14:paraId="6D70E7ED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kapcsolatot tart a szakterületet felügyelő Országos Katasztrófavédelmi Főigazgatósággal</w:t>
      </w:r>
      <w:r>
        <w:rPr>
          <w:rFonts w:ascii="Arial Narrow" w:hAnsi="Arial Narrow"/>
          <w:b/>
        </w:rPr>
        <w:t xml:space="preserve">, </w:t>
      </w:r>
    </w:p>
    <w:p w14:paraId="1F7E7140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13FF3">
        <w:rPr>
          <w:rFonts w:ascii="Arial Narrow" w:hAnsi="Arial Narrow"/>
        </w:rPr>
        <w:t>a hatáskörét ér</w:t>
      </w:r>
      <w:r w:rsidR="008D4098">
        <w:rPr>
          <w:rFonts w:ascii="Arial Narrow" w:hAnsi="Arial Narrow"/>
        </w:rPr>
        <w:t>i</w:t>
      </w:r>
      <w:r w:rsidRPr="00113FF3">
        <w:rPr>
          <w:rFonts w:ascii="Arial Narrow" w:hAnsi="Arial Narrow"/>
        </w:rPr>
        <w:t>ntő kérdésekben a tevékenységét összehangolja a MÉK egyéb tagozataival, illetve a Magyar Mérnöki Kamarával, különösen utóbbi Tűzvédelmi Tagozatával, valamint más, illetékes szakmai és gazdasági szervezetekkel, szövetségekkel</w:t>
      </w:r>
      <w:r>
        <w:rPr>
          <w:rFonts w:ascii="Arial Narrow" w:hAnsi="Arial Narrow"/>
          <w:b/>
        </w:rPr>
        <w:t>,</w:t>
      </w:r>
    </w:p>
    <w:p w14:paraId="50CB6B5B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A854AB">
        <w:rPr>
          <w:rFonts w:ascii="Arial Narrow" w:hAnsi="Arial Narrow"/>
        </w:rPr>
        <w:t>ellátja a Tűzvédelmi Tagozat tagjainak érdekképviseletét a MÉK Alapszabályában meghatározott, a hatáskörét érintő ügyekben</w:t>
      </w:r>
      <w:r w:rsidR="002E50D3">
        <w:rPr>
          <w:rFonts w:ascii="Arial Narrow" w:hAnsi="Arial Narrow"/>
          <w:b/>
        </w:rPr>
        <w:t>.</w:t>
      </w:r>
    </w:p>
    <w:p w14:paraId="26E26A5C" w14:textId="77777777" w:rsidR="00113FF3" w:rsidRDefault="00113FF3" w:rsidP="00626E10">
      <w:pPr>
        <w:pStyle w:val="Listaszerbekezds"/>
        <w:tabs>
          <w:tab w:val="left" w:pos="426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</w:p>
    <w:p w14:paraId="57171F44" w14:textId="77777777" w:rsidR="00113FF3" w:rsidRDefault="00113FF3" w:rsidP="00626E10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Véleményezési és egyetértési jog</w:t>
      </w:r>
    </w:p>
    <w:p w14:paraId="2D17575C" w14:textId="7B3ED649" w:rsidR="00113FF3" w:rsidRDefault="00BA48A6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A Tűzvédelmi Tagozat </w:t>
      </w:r>
      <w:r w:rsidR="00113FF3" w:rsidRPr="00A854AB">
        <w:rPr>
          <w:rFonts w:ascii="Arial Narrow" w:hAnsi="Arial Narrow"/>
        </w:rPr>
        <w:t>előzetes véleményezési joggal rendelkezik a MÉK szabályzatainak, állásfoglalásainak, iránymutatásainak és egyéb dokumentumainak elkészítésében</w:t>
      </w:r>
      <w:r w:rsidR="006F1CC8">
        <w:rPr>
          <w:rFonts w:ascii="Arial Narrow" w:hAnsi="Arial Narrow"/>
        </w:rPr>
        <w:t>.</w:t>
      </w:r>
    </w:p>
    <w:p w14:paraId="737F2E39" w14:textId="77777777" w:rsidR="00113FF3" w:rsidRDefault="00113FF3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A854AB">
        <w:rPr>
          <w:rFonts w:ascii="Arial Narrow" w:hAnsi="Arial Narrow"/>
        </w:rPr>
        <w:t xml:space="preserve">A Tűzvédelmi Tagozatnak minden, a hatáskörét érintő MÉK dokumentum előkészítése, egyeztetése és jóváhagyása során – különös tekintettel a szakmai jogszabálytervezetek véleményezésére – egyetértési </w:t>
      </w:r>
      <w:r w:rsidR="00A854AB" w:rsidRPr="00A854AB">
        <w:rPr>
          <w:rFonts w:ascii="Arial Narrow" w:hAnsi="Arial Narrow"/>
        </w:rPr>
        <w:t>joga van. A Tűzvédelmi Tagozat hatáskörét érintő dokumentum a Tűzvédelmi Tagozat Vezetősége egyetértésének hiányában nem hagyható jóvá. Amennyiben a Tűzvédelmi Tagozat egyetértési jogkörét érintő kérdésekben a MÉK Elnöksége és a Tűzvédelmi Tagozat Vezetősége egyeztetés után sem tud egyetértésre jutni, úgy a MÉK Küldöttgyűlése jogosult a döntés megállapítására</w:t>
      </w:r>
      <w:r w:rsidR="00A854AB">
        <w:rPr>
          <w:rFonts w:ascii="Arial Narrow" w:hAnsi="Arial Narrow"/>
          <w:b/>
        </w:rPr>
        <w:t>.</w:t>
      </w:r>
    </w:p>
    <w:p w14:paraId="711D3DAF" w14:textId="77777777" w:rsidR="00A854AB" w:rsidRDefault="00A854AB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A854AB">
        <w:rPr>
          <w:rFonts w:ascii="Arial Narrow" w:hAnsi="Arial Narrow"/>
        </w:rPr>
        <w:t>A Tűzvédelmi Tagozat – jogszabály, illetve a MÉK szabályzatain alapuló – állásfoglalásaitól a Területi Kamarák nem térhetnek el</w:t>
      </w:r>
      <w:r>
        <w:rPr>
          <w:rFonts w:ascii="Arial Narrow" w:hAnsi="Arial Narrow"/>
          <w:b/>
        </w:rPr>
        <w:t>.</w:t>
      </w:r>
    </w:p>
    <w:p w14:paraId="09D461E2" w14:textId="77777777" w:rsidR="00A854AB" w:rsidRDefault="00A854AB" w:rsidP="00626E10">
      <w:pPr>
        <w:pStyle w:val="Listaszerbekezds"/>
        <w:tabs>
          <w:tab w:val="left" w:pos="426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</w:p>
    <w:p w14:paraId="33BBBF98" w14:textId="77777777" w:rsidR="00BA48A6" w:rsidRDefault="00BA48A6" w:rsidP="00626E10">
      <w:pPr>
        <w:pStyle w:val="Listaszerbekezds"/>
        <w:tabs>
          <w:tab w:val="left" w:pos="426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</w:p>
    <w:p w14:paraId="44B1EF4D" w14:textId="77777777" w:rsidR="003D1962" w:rsidRDefault="00A854AB" w:rsidP="00626E10">
      <w:pPr>
        <w:pStyle w:val="Listaszerbekezds"/>
        <w:numPr>
          <w:ilvl w:val="0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Tűzvédelmi Tagozat tagjai</w:t>
      </w:r>
    </w:p>
    <w:p w14:paraId="793648F1" w14:textId="15A316F2" w:rsidR="00EB6333" w:rsidRPr="006F1CC8" w:rsidRDefault="00EB6333" w:rsidP="00EB6333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F1CC8">
        <w:rPr>
          <w:rFonts w:ascii="Arial Narrow" w:hAnsi="Arial Narrow"/>
        </w:rPr>
        <w:t xml:space="preserve">Szakmai tagozat tagja csak területi építész kamarai tag lehet, felsőfokú tűzvédelmi végzettséggel. </w:t>
      </w:r>
      <w:r w:rsidRPr="006F1CC8">
        <w:rPr>
          <w:rFonts w:ascii="Arial Narrow" w:hAnsi="Arial Narrow" w:cs="Arial"/>
        </w:rPr>
        <w:t>Az, akinek az adott tagozati szakterületben érvényes tervezői, szakértői, névjegyzéki bejegyzése van, a bejegyzéssel egyidőben a tagozat tagjává válik kivéve, ha nyilatkozik, hogy nem kíván a tagozat tagja lenni.</w:t>
      </w:r>
    </w:p>
    <w:p w14:paraId="32993BF0" w14:textId="77777777" w:rsidR="00A854AB" w:rsidRDefault="00A854AB" w:rsidP="00626E10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26E10">
        <w:rPr>
          <w:rFonts w:ascii="Arial Narrow" w:hAnsi="Arial Narrow"/>
        </w:rPr>
        <w:t xml:space="preserve">Azok a MÉK tagok, akik számára az OKF tűzvédelmi szakértői jogosultságot adott, </w:t>
      </w:r>
      <w:r w:rsidR="00390AF1">
        <w:rPr>
          <w:rFonts w:ascii="Arial Narrow" w:hAnsi="Arial Narrow"/>
        </w:rPr>
        <w:t xml:space="preserve">jelentkezést követően </w:t>
      </w:r>
      <w:r w:rsidRPr="00626E10">
        <w:rPr>
          <w:rFonts w:ascii="Arial Narrow" w:hAnsi="Arial Narrow"/>
        </w:rPr>
        <w:t>a Tűzvédelmi Tagozat tagjaivá válnak</w:t>
      </w:r>
      <w:r w:rsidRPr="00655E32">
        <w:rPr>
          <w:rFonts w:ascii="Arial Narrow" w:hAnsi="Arial Narrow"/>
        </w:rPr>
        <w:t>.</w:t>
      </w:r>
    </w:p>
    <w:p w14:paraId="6BB055CE" w14:textId="470F2E19" w:rsidR="00EB6333" w:rsidRPr="006F1CC8" w:rsidRDefault="00253774" w:rsidP="00EB6333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F1CC8">
        <w:rPr>
          <w:rFonts w:ascii="Arial Narrow" w:hAnsi="Arial Narrow"/>
        </w:rPr>
        <w:t>A</w:t>
      </w:r>
      <w:r w:rsidR="00655E32" w:rsidRPr="006F1CC8">
        <w:rPr>
          <w:rFonts w:ascii="Arial Narrow" w:hAnsi="Arial Narrow"/>
        </w:rPr>
        <w:t xml:space="preserve">zok a MÉK tagok, </w:t>
      </w:r>
      <w:r w:rsidR="00EB6333" w:rsidRPr="006F1CC8">
        <w:rPr>
          <w:rFonts w:ascii="Arial Narrow" w:hAnsi="Arial Narrow"/>
        </w:rPr>
        <w:t xml:space="preserve">akik felsőfokú tűzvédelmi </w:t>
      </w:r>
      <w:r w:rsidR="00655E32" w:rsidRPr="006F1CC8">
        <w:rPr>
          <w:rFonts w:ascii="Arial Narrow" w:hAnsi="Arial Narrow"/>
        </w:rPr>
        <w:t xml:space="preserve">végzettséggel nem rendelkeznek, a tagozat munkájában </w:t>
      </w:r>
      <w:r w:rsidR="00EB6333" w:rsidRPr="006F1CC8">
        <w:rPr>
          <w:rFonts w:ascii="Arial Narrow" w:hAnsi="Arial Narrow"/>
        </w:rPr>
        <w:t>tanácskozási joggal részt vehetnek</w:t>
      </w:r>
      <w:r w:rsidR="00655E32" w:rsidRPr="006F1CC8">
        <w:rPr>
          <w:rFonts w:ascii="Arial Narrow" w:hAnsi="Arial Narrow"/>
        </w:rPr>
        <w:t>.</w:t>
      </w:r>
      <w:r w:rsidR="00EB6333" w:rsidRPr="006F1CC8">
        <w:rPr>
          <w:rFonts w:ascii="Arial Narrow" w:hAnsi="Arial Narrow"/>
        </w:rPr>
        <w:t xml:space="preserve"> </w:t>
      </w:r>
      <w:r w:rsidR="00EB6333" w:rsidRPr="006F1CC8">
        <w:rPr>
          <w:rFonts w:ascii="Arial Narrow" w:hAnsi="Arial Narrow" w:cs="Arial"/>
        </w:rPr>
        <w:t>A tanácskozási joggal rendelkezők nem a tagozat tagjai, így semmilyen jog vagy kötelezettség nem vonatkozik rájuk, azonban a szakmai tagozat munkájában az ügyrend szerint részt vehetnek.</w:t>
      </w:r>
    </w:p>
    <w:p w14:paraId="66D8B2EC" w14:textId="77777777" w:rsidR="00EB6333" w:rsidRPr="00EB6333" w:rsidRDefault="00A854AB" w:rsidP="00EB6333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26E10">
        <w:rPr>
          <w:rFonts w:ascii="Arial Narrow" w:hAnsi="Arial Narrow"/>
        </w:rPr>
        <w:t xml:space="preserve">A </w:t>
      </w:r>
      <w:r w:rsidRPr="00EB6333">
        <w:rPr>
          <w:rFonts w:ascii="Arial Narrow" w:hAnsi="Arial Narrow"/>
        </w:rPr>
        <w:t xml:space="preserve">Tűzvédelmi Tagozat tagjainak nyilvántartásáról a MÉK </w:t>
      </w:r>
      <w:r w:rsidR="00EB6333" w:rsidRPr="006F1CC8">
        <w:rPr>
          <w:rFonts w:ascii="Arial Narrow" w:hAnsi="Arial Narrow"/>
        </w:rPr>
        <w:t xml:space="preserve">Titkársága </w:t>
      </w:r>
      <w:r w:rsidRPr="00EB6333">
        <w:rPr>
          <w:rFonts w:ascii="Arial Narrow" w:hAnsi="Arial Narrow"/>
        </w:rPr>
        <w:t>gondoskodik és a nyilvántartásról a vezetőséget – kérésére – tájékoztatja</w:t>
      </w:r>
      <w:r w:rsidRPr="00EB6333">
        <w:rPr>
          <w:rFonts w:ascii="Arial Narrow" w:hAnsi="Arial Narrow"/>
          <w:b/>
        </w:rPr>
        <w:t xml:space="preserve">. </w:t>
      </w:r>
    </w:p>
    <w:p w14:paraId="225507F0" w14:textId="77777777" w:rsidR="00EB6333" w:rsidRPr="006F1CC8" w:rsidRDefault="00EB6333" w:rsidP="00EB6333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F1CC8">
        <w:rPr>
          <w:rFonts w:ascii="Arial Narrow" w:hAnsi="Arial Narrow" w:cs="Arial"/>
        </w:rPr>
        <w:t xml:space="preserve"> A tagozati tagság megszűnik:</w:t>
      </w:r>
    </w:p>
    <w:p w14:paraId="331E53DC" w14:textId="77777777" w:rsidR="00EB6333" w:rsidRPr="006F1CC8" w:rsidRDefault="00EB6333" w:rsidP="00EB6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F1CC8">
        <w:rPr>
          <w:rFonts w:ascii="Arial Narrow" w:hAnsi="Arial Narrow" w:cs="Arial"/>
        </w:rPr>
        <w:t>a tag lemondásával,</w:t>
      </w:r>
    </w:p>
    <w:p w14:paraId="2D83F850" w14:textId="77777777" w:rsidR="00EB6333" w:rsidRPr="006F1CC8" w:rsidRDefault="00EB6333" w:rsidP="00EB6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F1CC8">
        <w:rPr>
          <w:rFonts w:ascii="Arial Narrow" w:hAnsi="Arial Narrow" w:cs="Arial"/>
        </w:rPr>
        <w:t>a kamarai tagság megszűnésével.</w:t>
      </w:r>
    </w:p>
    <w:p w14:paraId="3AD9E34A" w14:textId="77777777" w:rsidR="00EB6333" w:rsidRPr="006F1CC8" w:rsidRDefault="00EB6333" w:rsidP="00EB63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F1CC8">
        <w:rPr>
          <w:rFonts w:ascii="Arial Narrow" w:hAnsi="Arial Narrow" w:cs="Arial"/>
        </w:rPr>
        <w:t>A kamarai tagság felfüggesztésének ideje alatt a tagozati tag jogai és kötelezettségei a tagozat munkájában szünetelnek.</w:t>
      </w:r>
    </w:p>
    <w:p w14:paraId="53F159A2" w14:textId="77777777" w:rsidR="00626E10" w:rsidRDefault="00626E10" w:rsidP="00626E10">
      <w:pPr>
        <w:pStyle w:val="Listaszerbekezds"/>
        <w:numPr>
          <w:ilvl w:val="0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B6333">
        <w:rPr>
          <w:rFonts w:ascii="Arial Narrow" w:hAnsi="Arial Narrow"/>
          <w:b/>
        </w:rPr>
        <w:t>A Tűzvédelmi Tagozat</w:t>
      </w:r>
      <w:r>
        <w:rPr>
          <w:rFonts w:ascii="Arial Narrow" w:hAnsi="Arial Narrow"/>
          <w:b/>
        </w:rPr>
        <w:t xml:space="preserve"> szervezete és tisztségviselői</w:t>
      </w:r>
    </w:p>
    <w:p w14:paraId="6D088E31" w14:textId="77777777" w:rsidR="00D35AF4" w:rsidRPr="00D35AF4" w:rsidRDefault="00D35AF4" w:rsidP="00626E10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Tagozati Gyűlés összehívása és lebonyolítása</w:t>
      </w:r>
    </w:p>
    <w:p w14:paraId="7C43CEAE" w14:textId="77777777" w:rsidR="00626E10" w:rsidRDefault="00626E10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26E10">
        <w:rPr>
          <w:rFonts w:ascii="Arial Narrow" w:hAnsi="Arial Narrow"/>
        </w:rPr>
        <w:t>A Tagozati Gyűlés a szakmai tagozat legfőbb szerve. A Tagozati Gyűlést évente legalább egyszer, a MÉK Küldöttgyűlést megelőző időpontban kell tartani</w:t>
      </w:r>
      <w:r>
        <w:rPr>
          <w:rFonts w:ascii="Arial Narrow" w:hAnsi="Arial Narrow"/>
          <w:b/>
        </w:rPr>
        <w:t>.</w:t>
      </w:r>
    </w:p>
    <w:p w14:paraId="505CE42B" w14:textId="77777777" w:rsidR="00626E10" w:rsidRDefault="00626E10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26E10">
        <w:rPr>
          <w:rFonts w:ascii="Arial Narrow" w:hAnsi="Arial Narrow"/>
        </w:rPr>
        <w:t>A Tagozati Gyűlést a Tűzvédelmi Tagozat elnöke, vagy a MÉK Felügyelő Bizottságának elnöke, vagy a Tűzvédelmi Tagozat tagjainak legalább 10 %-</w:t>
      </w:r>
      <w:proofErr w:type="spellStart"/>
      <w:r w:rsidRPr="00626E10">
        <w:rPr>
          <w:rFonts w:ascii="Arial Narrow" w:hAnsi="Arial Narrow"/>
        </w:rPr>
        <w:t>ának</w:t>
      </w:r>
      <w:proofErr w:type="spellEnd"/>
      <w:r w:rsidRPr="00626E10">
        <w:rPr>
          <w:rFonts w:ascii="Arial Narrow" w:hAnsi="Arial Narrow"/>
        </w:rPr>
        <w:t xml:space="preserve"> kezdeményezésére a MÉK elnöke hívja össze</w:t>
      </w:r>
      <w:r>
        <w:rPr>
          <w:rFonts w:ascii="Arial Narrow" w:hAnsi="Arial Narrow"/>
          <w:b/>
        </w:rPr>
        <w:t>.</w:t>
      </w:r>
    </w:p>
    <w:p w14:paraId="16AA224F" w14:textId="6BB92303" w:rsidR="00626E10" w:rsidRPr="006F1CC8" w:rsidRDefault="00626E10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626E10">
        <w:rPr>
          <w:rFonts w:ascii="Arial Narrow" w:hAnsi="Arial Narrow"/>
        </w:rPr>
        <w:t xml:space="preserve">A Tagozati Gyűlésre meg kell hívni szavazati joggal a Tűzvédelmi Tagozat tagjait, valamint – tanácskozási joggal – a MÉK </w:t>
      </w:r>
      <w:r w:rsidRPr="00CC33D8">
        <w:rPr>
          <w:rFonts w:ascii="Arial Narrow" w:hAnsi="Arial Narrow"/>
        </w:rPr>
        <w:t>tisztségviselőit: a MÉK elnökét é</w:t>
      </w:r>
      <w:r w:rsidR="00CC33D8">
        <w:rPr>
          <w:rFonts w:ascii="Arial Narrow" w:hAnsi="Arial Narrow"/>
        </w:rPr>
        <w:t>s a Felügyelő Bizottság Elnökét</w:t>
      </w:r>
      <w:r w:rsidRPr="00CC33D8">
        <w:rPr>
          <w:rFonts w:ascii="Arial Narrow" w:hAnsi="Arial Narrow"/>
        </w:rPr>
        <w:t xml:space="preserve"> </w:t>
      </w:r>
      <w:r w:rsidR="00CC33D8" w:rsidRPr="006F1CC8">
        <w:rPr>
          <w:rFonts w:ascii="Arial Narrow" w:hAnsi="Arial Narrow" w:cs="Arial"/>
        </w:rPr>
        <w:t>és ügyrend szerint a tanácskozási joggal rendelkező személyeket.</w:t>
      </w:r>
    </w:p>
    <w:p w14:paraId="17F2FEA1" w14:textId="77777777" w:rsidR="00626E10" w:rsidRPr="005255A4" w:rsidRDefault="00626E10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5255A4">
        <w:rPr>
          <w:rFonts w:ascii="Arial Narrow" w:hAnsi="Arial Narrow"/>
        </w:rPr>
        <w:t xml:space="preserve">A Tűzvédelmi Tagozat tagjait és a MÉK említett tisztségviselőit személyre szóló írásos </w:t>
      </w:r>
      <w:r w:rsidR="00655E32" w:rsidRPr="005255A4">
        <w:rPr>
          <w:rFonts w:ascii="Arial Narrow" w:hAnsi="Arial Narrow"/>
        </w:rPr>
        <w:t>(elektronikus formátumban</w:t>
      </w:r>
      <w:r w:rsidRPr="005255A4">
        <w:rPr>
          <w:rFonts w:ascii="Arial Narrow" w:hAnsi="Arial Narrow"/>
        </w:rPr>
        <w:t xml:space="preserve"> is elegendő) meghívóval kell értesíteni, amelyben közölni kell a Tagozati Gyűlés időpontját, helyét, napirendi javaslatát és mellék</w:t>
      </w:r>
      <w:r w:rsidR="00655E32" w:rsidRPr="005255A4">
        <w:rPr>
          <w:rFonts w:ascii="Arial Narrow" w:hAnsi="Arial Narrow"/>
        </w:rPr>
        <w:t>l</w:t>
      </w:r>
      <w:r w:rsidRPr="005255A4">
        <w:rPr>
          <w:rFonts w:ascii="Arial Narrow" w:hAnsi="Arial Narrow"/>
        </w:rPr>
        <w:t>etben</w:t>
      </w:r>
      <w:r w:rsidR="00D35AF4" w:rsidRPr="005255A4">
        <w:rPr>
          <w:rFonts w:ascii="Arial Narrow" w:hAnsi="Arial Narrow"/>
        </w:rPr>
        <w:t xml:space="preserve"> az írásos beszámolókat, előterjesztéseket, határozati javaslatokat és az Ügyrendet érintő módosító szövegjavaslatokat</w:t>
      </w:r>
      <w:r w:rsidR="00D35AF4" w:rsidRPr="005255A4">
        <w:rPr>
          <w:rFonts w:ascii="Arial Narrow" w:hAnsi="Arial Narrow"/>
          <w:b/>
        </w:rPr>
        <w:t>.</w:t>
      </w:r>
    </w:p>
    <w:p w14:paraId="601F165E" w14:textId="77777777" w:rsidR="00D35AF4" w:rsidRDefault="00D35AF4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5255A4">
        <w:rPr>
          <w:rFonts w:ascii="Arial Narrow" w:hAnsi="Arial Narrow"/>
        </w:rPr>
        <w:t>A Tagozati Gyűlésről az érintetteket a gyűlés megtartásának időpontja előtt legalább 20 naptári nappal értesíte</w:t>
      </w:r>
      <w:r w:rsidRPr="003C5B01">
        <w:rPr>
          <w:rFonts w:ascii="Arial Narrow" w:hAnsi="Arial Narrow"/>
        </w:rPr>
        <w:t>ni kell.</w:t>
      </w:r>
    </w:p>
    <w:p w14:paraId="0F8D3D8A" w14:textId="2250A49A" w:rsidR="006F1CC8" w:rsidRPr="00CF1304" w:rsidRDefault="00D35AF4" w:rsidP="000408E3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0408E3">
        <w:rPr>
          <w:rFonts w:ascii="Arial Narrow" w:hAnsi="Arial Narrow"/>
        </w:rPr>
        <w:t>A Tagozati Gyűlés határozatképes, ha a</w:t>
      </w:r>
      <w:r w:rsidR="00655E32" w:rsidRPr="000408E3">
        <w:rPr>
          <w:rFonts w:ascii="Arial Narrow" w:hAnsi="Arial Narrow"/>
        </w:rPr>
        <w:t xml:space="preserve"> </w:t>
      </w:r>
      <w:r w:rsidRPr="000408E3">
        <w:rPr>
          <w:rFonts w:ascii="Arial Narrow" w:hAnsi="Arial Narrow"/>
        </w:rPr>
        <w:t>tagozati tago</w:t>
      </w:r>
      <w:r w:rsidR="00CF1304">
        <w:rPr>
          <w:rFonts w:ascii="Arial Narrow" w:hAnsi="Arial Narrow"/>
        </w:rPr>
        <w:t xml:space="preserve">k </w:t>
      </w:r>
      <w:r w:rsidRPr="000408E3">
        <w:rPr>
          <w:rFonts w:ascii="Arial Narrow" w:hAnsi="Arial Narrow"/>
        </w:rPr>
        <w:t>több</w:t>
      </w:r>
      <w:r w:rsidR="000408E3" w:rsidRPr="000408E3">
        <w:rPr>
          <w:rFonts w:ascii="Arial Narrow" w:hAnsi="Arial Narrow"/>
        </w:rPr>
        <w:t xml:space="preserve"> </w:t>
      </w:r>
      <w:r w:rsidR="000408E3" w:rsidRPr="00CF1304">
        <w:rPr>
          <w:rFonts w:ascii="Arial Narrow" w:hAnsi="Arial Narrow"/>
        </w:rPr>
        <w:t xml:space="preserve">mint </w:t>
      </w:r>
      <w:r w:rsidRPr="00CF1304">
        <w:rPr>
          <w:rFonts w:ascii="Arial Narrow" w:hAnsi="Arial Narrow"/>
        </w:rPr>
        <w:t>50 %</w:t>
      </w:r>
      <w:r w:rsidR="000408E3" w:rsidRPr="00CF1304">
        <w:rPr>
          <w:rFonts w:ascii="Arial Narrow" w:hAnsi="Arial Narrow"/>
        </w:rPr>
        <w:t>-a</w:t>
      </w:r>
      <w:r w:rsidRPr="00CF1304">
        <w:rPr>
          <w:rFonts w:ascii="Arial Narrow" w:hAnsi="Arial Narrow"/>
        </w:rPr>
        <w:t xml:space="preserve"> jelen van. </w:t>
      </w:r>
      <w:r w:rsidR="000408E3" w:rsidRPr="00CF1304">
        <w:rPr>
          <w:rFonts w:ascii="Arial Narrow" w:hAnsi="Arial Narrow" w:cs="Arial"/>
        </w:rPr>
        <w:t>Az azonos napirenddel megismételt tagozati gyűlés határozatképes, ha a tagozati tagok legalább 10 %-a jelen van.</w:t>
      </w:r>
    </w:p>
    <w:p w14:paraId="23A9F09D" w14:textId="387E9D31" w:rsidR="000408E3" w:rsidRPr="00CF1304" w:rsidRDefault="000408E3" w:rsidP="006F1CC8">
      <w:pPr>
        <w:pStyle w:val="Listaszerbekezds"/>
        <w:tabs>
          <w:tab w:val="left" w:pos="426"/>
          <w:tab w:val="left" w:pos="1560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  <w:r w:rsidRPr="00CF1304">
        <w:rPr>
          <w:rFonts w:ascii="Arial Narrow" w:hAnsi="Arial Narrow" w:cs="Arial"/>
        </w:rPr>
        <w:t xml:space="preserve">Személyi kérdésben (választás-visszahívás) a tagozati gyűlés kizárólag akkor tekinthető határozatképesnek, ha 100 főnél kisebb tagozati létszám alatti tagozat esetén, a szavazásnál a tagok több, mint 25%-a jelen van. </w:t>
      </w:r>
      <w:r w:rsidRPr="00CF1304">
        <w:rPr>
          <w:rFonts w:ascii="Arial Narrow" w:hAnsi="Arial Narrow" w:cs="Arial"/>
          <w:shd w:val="clear" w:color="auto" w:fill="FFFFFF"/>
        </w:rPr>
        <w:t>Határozatképtelenség miatt meghiúsult szavazás esetén a személyi kérdésben a tagozati gyűlést 30 napon belül meg kell ismételni.</w:t>
      </w:r>
    </w:p>
    <w:p w14:paraId="5F57ABB1" w14:textId="77777777" w:rsidR="00D35AF4" w:rsidRDefault="00D35AF4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C5B01">
        <w:rPr>
          <w:rFonts w:ascii="Arial Narrow" w:hAnsi="Arial Narrow"/>
        </w:rPr>
        <w:t>A Gyűlést a Tagozat elnöke nyitja meg és javaslatot tesz a levezető elnök személyére. A levezető elnök személyének (és az esetleges jegyzőkönyvvezetőnek, személyi döntések esetében a 3 fős szavazatszámláló bizottság tagjainak) megszavazása nyílt szavazással történik.</w:t>
      </w:r>
    </w:p>
    <w:p w14:paraId="416280A3" w14:textId="77777777" w:rsidR="00D35AF4" w:rsidRDefault="00D35AF4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C5B01">
        <w:rPr>
          <w:rFonts w:ascii="Arial Narrow" w:hAnsi="Arial Narrow"/>
        </w:rPr>
        <w:t>A napirendet nyílt szavazással kell megszavazni. Csak megszavazott napirendi témák tárgyalhatók.</w:t>
      </w:r>
    </w:p>
    <w:p w14:paraId="7AEDD729" w14:textId="0AC75F9F" w:rsidR="00486480" w:rsidRPr="00CF1304" w:rsidRDefault="00D35AF4" w:rsidP="00486480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C5B01">
        <w:rPr>
          <w:rFonts w:ascii="Arial Narrow" w:hAnsi="Arial Narrow"/>
        </w:rPr>
        <w:lastRenderedPageBreak/>
        <w:t xml:space="preserve">A </w:t>
      </w:r>
      <w:r w:rsidRPr="00D35AF4">
        <w:rPr>
          <w:rFonts w:ascii="Arial Narrow" w:hAnsi="Arial Narrow"/>
        </w:rPr>
        <w:t>Tagozati Gyűlés</w:t>
      </w:r>
      <w:r>
        <w:rPr>
          <w:rFonts w:ascii="Arial Narrow" w:hAnsi="Arial Narrow"/>
        </w:rPr>
        <w:t xml:space="preserve"> a Tagozatot érintő ügyekben nyílt, többségi szavazással határozatokat hozhat, illetve irányelveket fogadhat el.</w:t>
      </w:r>
      <w:r w:rsidR="00486480">
        <w:rPr>
          <w:rFonts w:ascii="Arial Narrow" w:hAnsi="Arial Narrow"/>
        </w:rPr>
        <w:t xml:space="preserve"> </w:t>
      </w:r>
      <w:r w:rsidR="00486480" w:rsidRPr="00486480">
        <w:rPr>
          <w:rFonts w:ascii="Arial Narrow" w:hAnsi="Arial Narrow"/>
          <w:color w:val="FF0000"/>
        </w:rPr>
        <w:t>Írásbeli szavazás</w:t>
      </w:r>
      <w:r w:rsidR="00567329">
        <w:rPr>
          <w:rFonts w:ascii="Arial Narrow" w:hAnsi="Arial Narrow"/>
          <w:color w:val="FF0000"/>
        </w:rPr>
        <w:t xml:space="preserve"> </w:t>
      </w:r>
      <w:r w:rsidR="00486480" w:rsidRPr="00486480">
        <w:rPr>
          <w:rFonts w:ascii="Arial Narrow" w:hAnsi="Arial Narrow"/>
          <w:color w:val="FF0000"/>
        </w:rPr>
        <w:t xml:space="preserve">szükség esetén szakmailag fontos és </w:t>
      </w:r>
      <w:r w:rsidR="00486480" w:rsidRPr="00CF1304">
        <w:rPr>
          <w:rFonts w:ascii="Arial Narrow" w:hAnsi="Arial Narrow"/>
        </w:rPr>
        <w:t xml:space="preserve">nem halasztható kérdésekben, jelenléti tagozati gyűlés összehívása nélkül – </w:t>
      </w:r>
      <w:r w:rsidR="00486480" w:rsidRPr="00CF1304">
        <w:rPr>
          <w:rFonts w:ascii="Arial Narrow" w:hAnsi="Arial Narrow"/>
          <w:b/>
        </w:rPr>
        <w:t>elektronikus úton</w:t>
      </w:r>
      <w:r w:rsidR="00486480" w:rsidRPr="00CF1304">
        <w:rPr>
          <w:rFonts w:ascii="Arial Narrow" w:hAnsi="Arial Narrow"/>
        </w:rPr>
        <w:t xml:space="preserve"> – is tartható az alábbi feltételek fennállása esetén:</w:t>
      </w:r>
    </w:p>
    <w:p w14:paraId="116439F5" w14:textId="77777777" w:rsidR="00486480" w:rsidRPr="00CF1304" w:rsidRDefault="00486480" w:rsidP="00486480">
      <w:pPr>
        <w:pStyle w:val="Nincstrkz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F1304">
        <w:rPr>
          <w:rFonts w:ascii="Arial Narrow" w:hAnsi="Arial Narrow"/>
          <w:color w:val="auto"/>
        </w:rPr>
        <w:t xml:space="preserve">Előzetes írásos előterjesztések esetében lehetséges - </w:t>
      </w:r>
      <w:r w:rsidRPr="00CF1304">
        <w:rPr>
          <w:rFonts w:ascii="Arial Narrow" w:hAnsi="Arial Narrow"/>
          <w:b/>
          <w:bCs/>
          <w:color w:val="auto"/>
        </w:rPr>
        <w:t xml:space="preserve">az ügyrend elfogadása és a </w:t>
      </w:r>
      <w:r w:rsidRPr="00CF1304">
        <w:rPr>
          <w:rFonts w:ascii="Arial Narrow" w:hAnsi="Arial Narrow"/>
          <w:color w:val="auto"/>
        </w:rPr>
        <w:t xml:space="preserve">titkos szavazást igénylő </w:t>
      </w:r>
      <w:r w:rsidRPr="00CF1304">
        <w:rPr>
          <w:rFonts w:ascii="Arial Narrow" w:hAnsi="Arial Narrow"/>
          <w:b/>
          <w:bCs/>
          <w:color w:val="auto"/>
        </w:rPr>
        <w:t xml:space="preserve">esetek kivételével </w:t>
      </w:r>
      <w:r w:rsidRPr="00CF1304">
        <w:rPr>
          <w:rFonts w:ascii="Arial Narrow" w:hAnsi="Arial Narrow"/>
          <w:color w:val="auto"/>
        </w:rPr>
        <w:t xml:space="preserve">- írásbeli szavazat leadása - </w:t>
      </w:r>
      <w:r w:rsidRPr="00CF1304">
        <w:rPr>
          <w:rFonts w:ascii="Arial Narrow" w:hAnsi="Arial Narrow"/>
          <w:b/>
          <w:color w:val="auto"/>
        </w:rPr>
        <w:t>elektronikus úton -</w:t>
      </w:r>
      <w:r w:rsidRPr="00CF1304">
        <w:rPr>
          <w:rFonts w:ascii="Arial Narrow" w:hAnsi="Arial Narrow"/>
          <w:color w:val="auto"/>
        </w:rPr>
        <w:t xml:space="preserve"> is. Ez csak abban az esetben bonyolítható le, ha minden tagnak 8 nappal a szavazási ill. tagozati gyűlési határidő előtt a szavazásra bocsátott előterjesztés és határozati javaslat a szavazati határidő megjelölésével megküldésre kerül. </w:t>
      </w:r>
    </w:p>
    <w:p w14:paraId="4D101B6F" w14:textId="77777777" w:rsidR="00486480" w:rsidRPr="00CF1304" w:rsidRDefault="00486480" w:rsidP="00486480">
      <w:pPr>
        <w:pStyle w:val="Nincstrkz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F1304">
        <w:rPr>
          <w:rFonts w:ascii="Arial Narrow" w:hAnsi="Arial Narrow"/>
          <w:color w:val="auto"/>
        </w:rPr>
        <w:t>Írásos szavazás esetén a tagság 50%+1 fő szavazatának beérkezése szükséges. Az írásban beérkezett minden szavazat valódiságáért a vezetőség – vitatott helyzetben, jogi felelősséggel is helytállóan – bizonyítható módon felelős.</w:t>
      </w:r>
    </w:p>
    <w:p w14:paraId="7DF94A56" w14:textId="77777777" w:rsidR="00486480" w:rsidRPr="00CF1304" w:rsidRDefault="00486480" w:rsidP="00486480">
      <w:pPr>
        <w:pStyle w:val="Nincstrkz"/>
        <w:numPr>
          <w:ilvl w:val="0"/>
          <w:numId w:val="6"/>
        </w:numPr>
        <w:jc w:val="both"/>
        <w:rPr>
          <w:rFonts w:ascii="Arial Narrow" w:hAnsi="Arial Narrow"/>
          <w:color w:val="auto"/>
        </w:rPr>
      </w:pPr>
      <w:r w:rsidRPr="00CF1304">
        <w:rPr>
          <w:rFonts w:ascii="Arial Narrow" w:hAnsi="Arial Narrow"/>
          <w:color w:val="auto"/>
        </w:rPr>
        <w:t xml:space="preserve">A szavazatokat a vezetőség számlálja és az eredményt, illetve a határozatokat a MÉK tagozati közleményeiben megjeleníti. </w:t>
      </w:r>
    </w:p>
    <w:p w14:paraId="5FA5BD5A" w14:textId="56A75098" w:rsidR="00D35AF4" w:rsidRPr="00D35AF4" w:rsidRDefault="00D35AF4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C5B01">
        <w:rPr>
          <w:rFonts w:ascii="Arial Narrow" w:hAnsi="Arial Narrow"/>
        </w:rPr>
        <w:t>A T</w:t>
      </w:r>
      <w:r w:rsidRPr="00D35AF4">
        <w:rPr>
          <w:rFonts w:ascii="Arial Narrow" w:hAnsi="Arial Narrow"/>
        </w:rPr>
        <w:t>agozati Gyűlés</w:t>
      </w:r>
      <w:r>
        <w:rPr>
          <w:rFonts w:ascii="Arial Narrow" w:hAnsi="Arial Narrow"/>
        </w:rPr>
        <w:t xml:space="preserve"> által meghozott határozatokat, irányelveket sorszámmal kell ellátni a meghozatal évével törve, a Tagozat Elnökének, Vezetőségének kötelező érvénnyel figyelembe kell venniük. A határozatok nyilvántartásáról a tagozat elnöke gondoskodik. A határozatokat, irányelveket a MÉK honlapján is közzé kell tenni.</w:t>
      </w:r>
    </w:p>
    <w:p w14:paraId="745E0620" w14:textId="77777777" w:rsidR="00D35AF4" w:rsidRDefault="00D35AF4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1018CB">
        <w:rPr>
          <w:rFonts w:ascii="Arial Narrow" w:hAnsi="Arial Narrow"/>
        </w:rPr>
        <w:t>A Tagozati Ügyrendet és módosításait is nyílt, többségi szavazással kell elfogadni.</w:t>
      </w:r>
    </w:p>
    <w:p w14:paraId="561DF10F" w14:textId="77777777" w:rsidR="00D35AF4" w:rsidRDefault="00373A0E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A tagozati gyűlésekről</w:t>
      </w:r>
      <w:r w:rsidR="00D35AF4" w:rsidRPr="003C5B01">
        <w:rPr>
          <w:rFonts w:ascii="Arial Narrow" w:hAnsi="Arial Narrow"/>
        </w:rPr>
        <w:t xml:space="preserve"> jegyzőkönyvet kell készíteni, amelybe b</w:t>
      </w:r>
      <w:r w:rsidR="001018CB" w:rsidRPr="003C5B01">
        <w:rPr>
          <w:rFonts w:ascii="Arial Narrow" w:hAnsi="Arial Narrow"/>
        </w:rPr>
        <w:t>ármely tag betekinthet. A jegyzőkönyvnek tartalmaznia kell a határozatok vagy állásfoglalások pontos szövegét, a szavazások eredményét. A jegyzőkönyvet a jegyzőkönyvvezető, a levezető elnök, a tagozat elnöke írják alá, és a Taggyűlés által kijelölt két tag hitelesíti.</w:t>
      </w:r>
    </w:p>
    <w:p w14:paraId="55B5BAF8" w14:textId="77777777" w:rsidR="001018CB" w:rsidRPr="003C5B01" w:rsidRDefault="001018CB" w:rsidP="009C5199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3C5B01">
        <w:rPr>
          <w:rFonts w:ascii="Arial Narrow" w:hAnsi="Arial Narrow"/>
        </w:rPr>
        <w:t>A Tagozati Gyűlés hatáskörébe tartozik:</w:t>
      </w:r>
    </w:p>
    <w:p w14:paraId="37D292DD" w14:textId="77777777" w:rsidR="00CC33D8" w:rsidRPr="00CF1304" w:rsidRDefault="00CC33D8" w:rsidP="00BF53F0">
      <w:pPr>
        <w:numPr>
          <w:ilvl w:val="0"/>
          <w:numId w:val="10"/>
        </w:numPr>
        <w:tabs>
          <w:tab w:val="left" w:pos="1985"/>
        </w:tabs>
        <w:autoSpaceDE w:val="0"/>
        <w:autoSpaceDN w:val="0"/>
        <w:adjustRightInd w:val="0"/>
        <w:spacing w:before="60" w:after="60" w:line="240" w:lineRule="auto"/>
        <w:ind w:left="1984" w:hanging="425"/>
        <w:rPr>
          <w:rFonts w:ascii="Arial Narrow" w:hAnsi="Arial Narrow" w:cs="Arial"/>
        </w:rPr>
      </w:pPr>
      <w:r w:rsidRPr="00CF1304">
        <w:rPr>
          <w:rFonts w:ascii="Arial Narrow" w:hAnsi="Arial Narrow" w:cs="Arial"/>
        </w:rPr>
        <w:t>a szakmai tagozat illetékességébe tartozó kamarai feladatok megvitatása, s ezen körben irányelvek meghatározása</w:t>
      </w:r>
      <w:r w:rsidR="00BF53F0" w:rsidRPr="00CF1304">
        <w:rPr>
          <w:rFonts w:ascii="Arial Narrow" w:hAnsi="Arial Narrow" w:cs="Arial"/>
        </w:rPr>
        <w:t>,</w:t>
      </w:r>
    </w:p>
    <w:p w14:paraId="2458E8CD" w14:textId="77777777" w:rsidR="001018CB" w:rsidRPr="00CF1304" w:rsidRDefault="001018CB" w:rsidP="009C5199">
      <w:pPr>
        <w:pStyle w:val="Listaszerbekezds"/>
        <w:numPr>
          <w:ilvl w:val="4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left="1985" w:hanging="425"/>
        <w:jc w:val="both"/>
        <w:rPr>
          <w:rFonts w:ascii="Arial Narrow" w:hAnsi="Arial Narrow"/>
        </w:rPr>
      </w:pPr>
      <w:r w:rsidRPr="00CF1304">
        <w:rPr>
          <w:rFonts w:ascii="Arial Narrow" w:hAnsi="Arial Narrow"/>
        </w:rPr>
        <w:t>a T</w:t>
      </w:r>
      <w:r w:rsidR="00BF53F0" w:rsidRPr="00CF1304">
        <w:rPr>
          <w:rFonts w:ascii="Arial Narrow" w:hAnsi="Arial Narrow"/>
        </w:rPr>
        <w:t xml:space="preserve">űzvédelmi Tagozat elnökének, 3 fős vezetőségének, a tagozati küldötteknek és pótküldötteknek megválasztása és visszahívása, </w:t>
      </w:r>
    </w:p>
    <w:p w14:paraId="01E7C303" w14:textId="77777777" w:rsidR="00BF53F0" w:rsidRPr="00CF1304" w:rsidRDefault="00BF53F0" w:rsidP="009C5199">
      <w:pPr>
        <w:pStyle w:val="Listaszerbekezds"/>
        <w:numPr>
          <w:ilvl w:val="4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left="1985" w:hanging="425"/>
        <w:jc w:val="both"/>
        <w:rPr>
          <w:rFonts w:ascii="Arial Narrow" w:hAnsi="Arial Narrow"/>
        </w:rPr>
      </w:pPr>
      <w:r w:rsidRPr="00CF1304">
        <w:rPr>
          <w:rFonts w:ascii="Arial Narrow" w:hAnsi="Arial Narrow" w:cs="Arial"/>
        </w:rPr>
        <w:t>a tagozat elnökének és vezetősége munkájának értékelése,</w:t>
      </w:r>
    </w:p>
    <w:p w14:paraId="7B3161B0" w14:textId="77777777" w:rsidR="001018CB" w:rsidRPr="00CF1304" w:rsidRDefault="001018CB" w:rsidP="009C5199">
      <w:pPr>
        <w:pStyle w:val="Listaszerbekezds"/>
        <w:numPr>
          <w:ilvl w:val="4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left="1985" w:hanging="425"/>
        <w:jc w:val="both"/>
        <w:rPr>
          <w:rFonts w:ascii="Arial Narrow" w:hAnsi="Arial Narrow"/>
        </w:rPr>
      </w:pPr>
      <w:r w:rsidRPr="00CF1304">
        <w:rPr>
          <w:rFonts w:ascii="Arial Narrow" w:hAnsi="Arial Narrow"/>
        </w:rPr>
        <w:t>a MÉK Küldöttgyűlésébe a MÉK Alapszabályában meghatározott számú k</w:t>
      </w:r>
      <w:r w:rsidR="00CC33D8" w:rsidRPr="00CF1304">
        <w:rPr>
          <w:rFonts w:ascii="Arial Narrow" w:hAnsi="Arial Narrow"/>
        </w:rPr>
        <w:t xml:space="preserve">üldöttjeinek és </w:t>
      </w:r>
      <w:proofErr w:type="spellStart"/>
      <w:r w:rsidR="00CC33D8" w:rsidRPr="00CF1304">
        <w:rPr>
          <w:rFonts w:ascii="Arial Narrow" w:hAnsi="Arial Narrow"/>
        </w:rPr>
        <w:t>pótküldötteinek</w:t>
      </w:r>
      <w:proofErr w:type="spellEnd"/>
      <w:r w:rsidR="00CC33D8" w:rsidRPr="00CF1304">
        <w:rPr>
          <w:rFonts w:ascii="Arial Narrow" w:hAnsi="Arial Narrow"/>
        </w:rPr>
        <w:t xml:space="preserve"> elfogadása,</w:t>
      </w:r>
    </w:p>
    <w:p w14:paraId="307DA71B" w14:textId="77777777" w:rsidR="001018CB" w:rsidRPr="00CF1304" w:rsidRDefault="00655E32" w:rsidP="009C5199">
      <w:pPr>
        <w:pStyle w:val="Listaszerbekezds"/>
        <w:numPr>
          <w:ilvl w:val="4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left="1985" w:hanging="425"/>
        <w:jc w:val="both"/>
        <w:rPr>
          <w:rFonts w:ascii="Arial Narrow" w:hAnsi="Arial Narrow"/>
        </w:rPr>
      </w:pPr>
      <w:r w:rsidRPr="00CF1304">
        <w:rPr>
          <w:rFonts w:ascii="Arial Narrow" w:hAnsi="Arial Narrow"/>
        </w:rPr>
        <w:t xml:space="preserve">az </w:t>
      </w:r>
      <w:proofErr w:type="gramStart"/>
      <w:r w:rsidR="003C5B01" w:rsidRPr="00CF1304">
        <w:rPr>
          <w:rFonts w:ascii="Arial Narrow" w:hAnsi="Arial Narrow"/>
        </w:rPr>
        <w:t>OKF-el</w:t>
      </w:r>
      <w:proofErr w:type="gramEnd"/>
      <w:r w:rsidR="003C5B01" w:rsidRPr="00CF1304">
        <w:rPr>
          <w:rFonts w:ascii="Arial Narrow" w:hAnsi="Arial Narrow"/>
        </w:rPr>
        <w:t xml:space="preserve"> közösen alkotott</w:t>
      </w:r>
      <w:r w:rsidR="001018CB" w:rsidRPr="00CF1304">
        <w:rPr>
          <w:rFonts w:ascii="Arial Narrow" w:hAnsi="Arial Narrow"/>
        </w:rPr>
        <w:t xml:space="preserve"> </w:t>
      </w:r>
      <w:r w:rsidRPr="00CF1304">
        <w:rPr>
          <w:rFonts w:ascii="Arial Narrow" w:hAnsi="Arial Narrow"/>
        </w:rPr>
        <w:t xml:space="preserve">tűzvédelmi tervezői (szakértői) </w:t>
      </w:r>
      <w:r w:rsidR="001018CB" w:rsidRPr="00CF1304">
        <w:rPr>
          <w:rFonts w:ascii="Arial Narrow" w:hAnsi="Arial Narrow"/>
        </w:rPr>
        <w:t>vizsgabizottság tagjának megválasztása,</w:t>
      </w:r>
      <w:r w:rsidR="003C5B01" w:rsidRPr="00CF1304">
        <w:rPr>
          <w:rFonts w:ascii="Arial Narrow" w:hAnsi="Arial Narrow"/>
        </w:rPr>
        <w:t xml:space="preserve"> valamint</w:t>
      </w:r>
    </w:p>
    <w:p w14:paraId="5F808E8C" w14:textId="77777777" w:rsidR="003C5B01" w:rsidRPr="00CF1304" w:rsidRDefault="003C5B01" w:rsidP="009C5199">
      <w:pPr>
        <w:pStyle w:val="Listaszerbekezds"/>
        <w:numPr>
          <w:ilvl w:val="4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left="1985" w:hanging="425"/>
        <w:jc w:val="both"/>
        <w:rPr>
          <w:rFonts w:ascii="Arial Narrow" w:hAnsi="Arial Narrow"/>
        </w:rPr>
      </w:pPr>
      <w:r w:rsidRPr="00CF1304">
        <w:rPr>
          <w:rFonts w:ascii="Arial Narrow" w:hAnsi="Arial Narrow"/>
        </w:rPr>
        <w:t xml:space="preserve">a </w:t>
      </w:r>
      <w:r w:rsidR="00CC33D8" w:rsidRPr="00CF1304">
        <w:rPr>
          <w:rFonts w:ascii="Arial Narrow" w:hAnsi="Arial Narrow"/>
        </w:rPr>
        <w:t>Tűzvédelmi Tagozat Ügyrendjének elfogadása,</w:t>
      </w:r>
    </w:p>
    <w:p w14:paraId="61E98599" w14:textId="77777777" w:rsidR="003C5B01" w:rsidRPr="00CF1304" w:rsidRDefault="003C5B01" w:rsidP="009C5199">
      <w:pPr>
        <w:pStyle w:val="Listaszerbekezds"/>
        <w:numPr>
          <w:ilvl w:val="4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left="1985" w:hanging="425"/>
        <w:jc w:val="both"/>
        <w:rPr>
          <w:rFonts w:ascii="Arial Narrow" w:hAnsi="Arial Narrow"/>
        </w:rPr>
      </w:pPr>
      <w:r w:rsidRPr="00CF1304">
        <w:rPr>
          <w:rFonts w:ascii="Arial Narrow" w:hAnsi="Arial Narrow"/>
        </w:rPr>
        <w:t>a Tűzvédelmi Tagozat elnöki beszámolójának</w:t>
      </w:r>
      <w:r w:rsidR="00CC33D8" w:rsidRPr="00CF1304">
        <w:rPr>
          <w:rFonts w:ascii="Arial Narrow" w:hAnsi="Arial Narrow"/>
        </w:rPr>
        <w:t xml:space="preserve"> értékelése.</w:t>
      </w:r>
    </w:p>
    <w:p w14:paraId="56B71845" w14:textId="1CBD1E93" w:rsidR="003C5B01" w:rsidRPr="00CF1304" w:rsidRDefault="003C5B01" w:rsidP="009C5199">
      <w:pPr>
        <w:tabs>
          <w:tab w:val="left" w:pos="426"/>
          <w:tab w:val="left" w:pos="1560"/>
          <w:tab w:val="left" w:pos="1985"/>
        </w:tabs>
        <w:spacing w:before="60" w:after="60" w:line="240" w:lineRule="auto"/>
        <w:ind w:left="1560"/>
        <w:jc w:val="both"/>
        <w:rPr>
          <w:rFonts w:ascii="Arial Narrow" w:hAnsi="Arial Narrow"/>
          <w:b/>
          <w:strike/>
        </w:rPr>
      </w:pPr>
    </w:p>
    <w:p w14:paraId="492AF92A" w14:textId="09E771D2" w:rsidR="00BF53F0" w:rsidRPr="00CF1304" w:rsidRDefault="00BF53F0" w:rsidP="00BF53F0">
      <w:pPr>
        <w:numPr>
          <w:ilvl w:val="2"/>
          <w:numId w:val="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b/>
        </w:rPr>
      </w:pPr>
      <w:r w:rsidRPr="00CF1304">
        <w:rPr>
          <w:rFonts w:ascii="Arial Narrow" w:hAnsi="Arial Narrow" w:cs="Arial"/>
        </w:rPr>
        <w:t>A MÉK Felügyelő Bizottságának véleményét az ügyrend tervezetéről, tervezett módosításáról a tagozati gyűlésről szóló meghívóhoz mellékelni kell.</w:t>
      </w:r>
    </w:p>
    <w:p w14:paraId="10A5A1E5" w14:textId="77777777" w:rsidR="00BF53F0" w:rsidRPr="00CF1304" w:rsidRDefault="00BF53F0" w:rsidP="00BF53F0">
      <w:pPr>
        <w:numPr>
          <w:ilvl w:val="2"/>
          <w:numId w:val="2"/>
        </w:numPr>
        <w:tabs>
          <w:tab w:val="left" w:pos="426"/>
          <w:tab w:val="left" w:pos="1560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/>
          <w:b/>
        </w:rPr>
      </w:pPr>
      <w:r w:rsidRPr="00CF1304">
        <w:rPr>
          <w:rFonts w:ascii="Arial Narrow" w:hAnsi="Arial Narrow" w:cs="Arial"/>
        </w:rPr>
        <w:t>A tagozati gyűlés jegyzőkönyvének elkészítésért a tagozat elnöke felel, amelynek egy aláírt példányát a MÉK</w:t>
      </w:r>
      <w:r w:rsidRPr="00CF1304">
        <w:rPr>
          <w:rFonts w:ascii="Arial Narrow" w:hAnsi="Arial Narrow"/>
          <w:b/>
        </w:rPr>
        <w:t xml:space="preserve"> </w:t>
      </w:r>
      <w:r w:rsidRPr="00CF1304">
        <w:rPr>
          <w:rFonts w:ascii="Arial Narrow" w:hAnsi="Arial Narrow" w:cs="Arial"/>
        </w:rPr>
        <w:t>Titkárságának kell leadni. A tagozati gyűlés jegyzőkönyveinek, valamint a jelenléti íveknek a megőrzéséért a MÉK</w:t>
      </w:r>
      <w:r w:rsidRPr="00CF1304">
        <w:rPr>
          <w:rFonts w:ascii="Arial Narrow" w:hAnsi="Arial Narrow"/>
          <w:b/>
        </w:rPr>
        <w:t xml:space="preserve"> </w:t>
      </w:r>
      <w:r w:rsidRPr="00CF1304">
        <w:rPr>
          <w:rFonts w:ascii="Arial Narrow" w:hAnsi="Arial Narrow" w:cs="Arial"/>
        </w:rPr>
        <w:t>Titkársága felel.</w:t>
      </w:r>
    </w:p>
    <w:p w14:paraId="3D40754E" w14:textId="77777777" w:rsidR="00D35AF4" w:rsidRDefault="003C5B01" w:rsidP="00D1699C">
      <w:pPr>
        <w:pStyle w:val="Listaszerbekezds"/>
        <w:numPr>
          <w:ilvl w:val="1"/>
          <w:numId w:val="2"/>
        </w:numPr>
        <w:tabs>
          <w:tab w:val="left" w:pos="426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Tűzvédelmi Tagozat tisztségviselőinek, </w:t>
      </w:r>
      <w:proofErr w:type="spellStart"/>
      <w:r>
        <w:rPr>
          <w:rFonts w:ascii="Arial Narrow" w:hAnsi="Arial Narrow"/>
          <w:b/>
        </w:rPr>
        <w:t>küldötteinek</w:t>
      </w:r>
      <w:proofErr w:type="spellEnd"/>
      <w:r>
        <w:rPr>
          <w:rFonts w:ascii="Arial Narrow" w:hAnsi="Arial Narrow"/>
          <w:b/>
        </w:rPr>
        <w:t xml:space="preserve"> és bizottságai tagjainak megválasztási és visszahívási szabályai</w:t>
      </w:r>
    </w:p>
    <w:p w14:paraId="6CE10421" w14:textId="77777777" w:rsidR="003C5B01" w:rsidRDefault="003C5B01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t>A tisztségviselők, küldöttek és bizottsági tagok megválasztása, vagy visszahívása titkos szavazással történik, de titkos szavazást egyéb témákban is elrendelhet a Tagozati Gyűlés többségi szavazással.</w:t>
      </w:r>
    </w:p>
    <w:p w14:paraId="0F685B2E" w14:textId="77777777" w:rsidR="003C5B01" w:rsidRDefault="003C5B01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t xml:space="preserve">A Tűzvédelmi Tagozat tisztségviselőinek (Elnök, vezetőségi tagok, póttagok) együttes megválasztásáról döntő Tisztújító </w:t>
      </w:r>
      <w:r w:rsidRPr="00655E32">
        <w:rPr>
          <w:rFonts w:ascii="Arial Narrow" w:hAnsi="Arial Narrow"/>
        </w:rPr>
        <w:t>Tagozati Gyűlés előtt legalább 20 nappal a vezetőségnek Jelölő Bizottságot kell felállítania, amely sz</w:t>
      </w:r>
      <w:r w:rsidRPr="00EC6129">
        <w:rPr>
          <w:rFonts w:ascii="Arial Narrow" w:hAnsi="Arial Narrow"/>
        </w:rPr>
        <w:t>emélyi javaslatot tesz a tisztségviselőkre. A Jelölő Bizottságnak nem lehetnek tagjai a vezetőségi tagok és a póttagok.</w:t>
      </w:r>
    </w:p>
    <w:p w14:paraId="317EAA7C" w14:textId="77777777" w:rsidR="003C5B01" w:rsidRDefault="003C5B01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lastRenderedPageBreak/>
        <w:t xml:space="preserve">Abban az esetben, ha csak tagozati elnök, vagy csak új vezetőség megválasztása válik szükségessé, azt is Tisztújító Tagozati Gyűlésen kell megtenni, az előző pontban leírtak </w:t>
      </w:r>
      <w:proofErr w:type="gramStart"/>
      <w:r w:rsidRPr="00EC6129">
        <w:rPr>
          <w:rFonts w:ascii="Arial Narrow" w:hAnsi="Arial Narrow"/>
        </w:rPr>
        <w:t>figyelembe vételével</w:t>
      </w:r>
      <w:proofErr w:type="gramEnd"/>
      <w:r w:rsidRPr="00EC6129">
        <w:rPr>
          <w:rFonts w:ascii="Arial Narrow" w:hAnsi="Arial Narrow"/>
        </w:rPr>
        <w:t>.</w:t>
      </w:r>
    </w:p>
    <w:p w14:paraId="635F286B" w14:textId="77777777" w:rsidR="003C5B01" w:rsidRDefault="003C5B01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t>A küldöttek, pótküldöttek, valamint a bizottsági tagok</w:t>
      </w:r>
      <w:r w:rsidR="00EC6129" w:rsidRPr="00EC6129">
        <w:rPr>
          <w:rFonts w:ascii="Arial Narrow" w:hAnsi="Arial Narrow"/>
        </w:rPr>
        <w:t xml:space="preserve"> és póttagok, továbbá a vezetőségi póttagok rendes, illetve rendkívüli Tagozati Gyűlésen egyaránt választhatók.</w:t>
      </w:r>
    </w:p>
    <w:p w14:paraId="549E74C0" w14:textId="77777777" w:rsidR="00EC6129" w:rsidRDefault="00EC6129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t>Tisztségviselőnek, küldöttnek és szakmai minősítő bizottsági tagnak (és póttagnak) csak nyilvántartott, fegyelmi eljárás, illetve büntetés alatt nem álló tagozati tag választható meg</w:t>
      </w:r>
      <w:r>
        <w:rPr>
          <w:rFonts w:ascii="Arial Narrow" w:hAnsi="Arial Narrow"/>
          <w:b/>
        </w:rPr>
        <w:t>.</w:t>
      </w:r>
    </w:p>
    <w:p w14:paraId="5DF1C875" w14:textId="77777777" w:rsidR="00EC6129" w:rsidRDefault="00EC6129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t>A MÉK Küldöttgyűlésén a Tűzvédelmi Tagozatot képviselő küldöttek és pótküldöttek személyére, továbbá a szakmai minősítő bizottság tagjaira és póttagjaira a tagozati vezetőség, vagy az általa kijelölt bizottság tesz javaslatot.</w:t>
      </w:r>
    </w:p>
    <w:p w14:paraId="1FA42120" w14:textId="77777777" w:rsidR="00EC6129" w:rsidRDefault="00EC6129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EC6129">
        <w:rPr>
          <w:rFonts w:ascii="Arial Narrow" w:hAnsi="Arial Narrow"/>
        </w:rPr>
        <w:t>A tisztségviselőnek és küldöttnek javasolt személyekről a választásról döntő Tagozati Gyűlés meghívójában a tagokat értesíteni kell.</w:t>
      </w:r>
    </w:p>
    <w:p w14:paraId="76977C53" w14:textId="77777777" w:rsidR="00EC6129" w:rsidRPr="009C5199" w:rsidRDefault="00EC6129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 xml:space="preserve">A Tűzvédelmi Tagozat tisztségviselőire, </w:t>
      </w:r>
      <w:proofErr w:type="spellStart"/>
      <w:r w:rsidRPr="00C17BC1">
        <w:rPr>
          <w:rFonts w:ascii="Arial Narrow" w:hAnsi="Arial Narrow"/>
        </w:rPr>
        <w:t>küldötteire</w:t>
      </w:r>
      <w:proofErr w:type="spellEnd"/>
      <w:r w:rsidRPr="00C17BC1">
        <w:rPr>
          <w:rFonts w:ascii="Arial Narrow" w:hAnsi="Arial Narrow"/>
        </w:rPr>
        <w:t xml:space="preserve"> és a szakmai minősítő bizottság tagjaira a Tagozati Gyűlésen is tehetnek javaslatot a szavazati joggal rendelkezők. Jelölőlistára való felkerülésükről a </w:t>
      </w:r>
      <w:r w:rsidRPr="009C5199">
        <w:rPr>
          <w:rFonts w:ascii="Arial Narrow" w:hAnsi="Arial Narrow"/>
        </w:rPr>
        <w:t>Gyűlés többségi nyílt szavazással dönt.</w:t>
      </w:r>
    </w:p>
    <w:p w14:paraId="2C8962BB" w14:textId="77777777" w:rsidR="00EC6129" w:rsidRPr="009C5199" w:rsidRDefault="00EC6129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9C5199">
        <w:rPr>
          <w:rFonts w:ascii="Arial Narrow" w:hAnsi="Arial Narrow"/>
        </w:rPr>
        <w:t>Csak az a személy kerülhet jelölőlistára, aki a jelölést elfogadta.</w:t>
      </w:r>
    </w:p>
    <w:p w14:paraId="2D9D6D09" w14:textId="77777777" w:rsidR="00EC6129" w:rsidRPr="009C5199" w:rsidRDefault="00EC6129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9C5199">
        <w:rPr>
          <w:rFonts w:ascii="Arial Narrow" w:hAnsi="Arial Narrow"/>
        </w:rPr>
        <w:t>Külön szavazással kell szavazni az Elnökről, a vezetőségi tagokról, a küldöttekről, valamint a bizottságokba delegált személyekről.</w:t>
      </w:r>
      <w:r w:rsidR="009C1768" w:rsidRPr="009C5199">
        <w:rPr>
          <w:rFonts w:ascii="Arial Narrow" w:hAnsi="Arial Narrow"/>
        </w:rPr>
        <w:t xml:space="preserve"> A szavazás sorrendjében az Elnök megszavazását követően annak eredményét közzé kell tenni. A nem győztes Elnök jelöltek automatikusan felkerülnek a választható vezetőségi tagok listájára.</w:t>
      </w:r>
    </w:p>
    <w:p w14:paraId="0B6CC897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9C5199">
        <w:rPr>
          <w:rFonts w:ascii="Arial Narrow" w:hAnsi="Arial Narrow"/>
        </w:rPr>
        <w:t>A tagozati tisztségviselők közül az elnök megválasztásához a jelenlévő, szavazásra jogosultak többségének (50 % + 1 fő</w:t>
      </w:r>
      <w:r w:rsidRPr="00C17BC1">
        <w:rPr>
          <w:rFonts w:ascii="Arial Narrow" w:hAnsi="Arial Narrow"/>
        </w:rPr>
        <w:t>) szavazata szükséges.</w:t>
      </w:r>
    </w:p>
    <w:p w14:paraId="675805EC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Ha több jelölt kö</w:t>
      </w:r>
      <w:r w:rsidR="00E73450">
        <w:rPr>
          <w:rFonts w:ascii="Arial Narrow" w:hAnsi="Arial Narrow"/>
        </w:rPr>
        <w:t>z</w:t>
      </w:r>
      <w:r w:rsidRPr="00C17BC1">
        <w:rPr>
          <w:rFonts w:ascii="Arial Narrow" w:hAnsi="Arial Narrow"/>
        </w:rPr>
        <w:t>ül egyik elnökjelölt sem kapta meg a leadott szavazatok 50 %+1-t, úgy pótválasztást kell rendezni. A pótválasztást azonnal meg kell tartani, és azt kell megválasztottnak tekinteni, aki a legtöbb érvényes szavazatot kapta. Szavazategyenlőség esetén azt kell megválasztottnak tekinteni, aki az első fordulóban több szavazatot kapott. Amennyiben csak egy elnökjelölt volt és az nem kapta meg a jelenlévő szavazásra jogosultak többségének (50 %+1 fő) szavazatát, akkor eredménytelennek kell tekinteni a szavazást.</w:t>
      </w:r>
    </w:p>
    <w:p w14:paraId="36E809FF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786414">
        <w:rPr>
          <w:rFonts w:ascii="Arial Narrow" w:hAnsi="Arial Narrow"/>
        </w:rPr>
        <w:t>Vezetőségi tagok, küldöttgyűlési küldöttek, valamint a bizottsági tagok megválasztása a szavazólistán elért szavazatszámból következő sorrend alapján történik.</w:t>
      </w:r>
    </w:p>
    <w:p w14:paraId="7ED45E9D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786414">
        <w:rPr>
          <w:rFonts w:ascii="Arial Narrow" w:hAnsi="Arial Narrow"/>
        </w:rPr>
        <w:t>A póttagok, illetve pótküldöttek a rájuk adott szavazatok számának sorrendjében válnak a jelöléskor meghatározott tisztség várományosaivá.</w:t>
      </w:r>
    </w:p>
    <w:p w14:paraId="343EAB37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786414">
        <w:rPr>
          <w:rFonts w:ascii="Arial Narrow" w:hAnsi="Arial Narrow"/>
        </w:rPr>
        <w:t>A póttagot, illetve pótküldöttet (a szakmai minősítő bizottsági póttagok kivételével, akikre a MÉK Névjegyzéki Szabályzatában foglaltak irányadók) a Tagozat Elnöke írásban, megbízó levéllel hívja be a vezetőségi tagok, illetve a küldöttek közé.</w:t>
      </w:r>
      <w:r w:rsidR="00655E32">
        <w:rPr>
          <w:rFonts w:ascii="Arial Narrow" w:hAnsi="Arial Narrow"/>
        </w:rPr>
        <w:t xml:space="preserve"> </w:t>
      </w:r>
      <w:r w:rsidRPr="00786414">
        <w:rPr>
          <w:rFonts w:ascii="Arial Narrow" w:hAnsi="Arial Narrow"/>
        </w:rPr>
        <w:t>A pótküldött behívása esetén a küldött jogállásával rendelkezik.</w:t>
      </w:r>
    </w:p>
    <w:p w14:paraId="633B3252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786414">
        <w:rPr>
          <w:rFonts w:ascii="Arial Narrow" w:hAnsi="Arial Narrow"/>
        </w:rPr>
        <w:t>A tisztségviselők és küldöttek visszahívását kezdeményezheti (írásban):</w:t>
      </w:r>
    </w:p>
    <w:p w14:paraId="71066FB8" w14:textId="77777777" w:rsidR="00A8341D" w:rsidRPr="00786414" w:rsidRDefault="00A8341D" w:rsidP="00D1699C">
      <w:pPr>
        <w:pStyle w:val="Listaszerbekezds"/>
        <w:numPr>
          <w:ilvl w:val="3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</w:rPr>
      </w:pPr>
      <w:r w:rsidRPr="00786414">
        <w:rPr>
          <w:rFonts w:ascii="Arial Narrow" w:hAnsi="Arial Narrow"/>
        </w:rPr>
        <w:t xml:space="preserve">a tagozat tagjainak legalább 10 %-a, </w:t>
      </w:r>
    </w:p>
    <w:p w14:paraId="1EF8D052" w14:textId="77777777" w:rsidR="00A8341D" w:rsidRPr="00786414" w:rsidRDefault="00A8341D" w:rsidP="00D1699C">
      <w:pPr>
        <w:pStyle w:val="Listaszerbekezds"/>
        <w:numPr>
          <w:ilvl w:val="3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</w:rPr>
      </w:pPr>
      <w:r w:rsidRPr="00786414">
        <w:rPr>
          <w:rFonts w:ascii="Arial Narrow" w:hAnsi="Arial Narrow"/>
        </w:rPr>
        <w:t>a MÉK Felügyelő Bizottsága,</w:t>
      </w:r>
    </w:p>
    <w:p w14:paraId="4A5C919C" w14:textId="77777777" w:rsidR="00A8341D" w:rsidRPr="00786414" w:rsidRDefault="00A8341D" w:rsidP="00D1699C">
      <w:pPr>
        <w:pStyle w:val="Listaszerbekezds"/>
        <w:numPr>
          <w:ilvl w:val="3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</w:rPr>
      </w:pPr>
      <w:r w:rsidRPr="00786414">
        <w:rPr>
          <w:rFonts w:ascii="Arial Narrow" w:hAnsi="Arial Narrow"/>
        </w:rPr>
        <w:t>küldött esetében a Tagozat vezetősége (kétharmados szavazati többséggel)</w:t>
      </w:r>
    </w:p>
    <w:p w14:paraId="5C4AF3DF" w14:textId="77777777" w:rsidR="00A8341D" w:rsidRDefault="00A8341D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  <w:tab w:val="left" w:pos="1985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786414">
        <w:rPr>
          <w:rFonts w:ascii="Arial Narrow" w:hAnsi="Arial Narrow"/>
        </w:rPr>
        <w:t>A tisztségviselők, küldöttek visszaívásáról (valamint a szakmai minősítő bizottsági tagok visszahívásának kezdeményezéséről) – amennyiben az az elfogadott napirendi témák közé került – Tagozati Gyűlésen, titkos, többségi szavazással kell dönteni</w:t>
      </w:r>
      <w:r>
        <w:rPr>
          <w:rFonts w:ascii="Arial Narrow" w:hAnsi="Arial Narrow"/>
          <w:b/>
        </w:rPr>
        <w:t>.</w:t>
      </w:r>
    </w:p>
    <w:p w14:paraId="427AA8EC" w14:textId="77777777" w:rsidR="00655E32" w:rsidRDefault="00655E32" w:rsidP="00655E32">
      <w:pPr>
        <w:pStyle w:val="Listaszerbekezds"/>
        <w:tabs>
          <w:tab w:val="left" w:pos="426"/>
          <w:tab w:val="left" w:pos="1985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</w:p>
    <w:p w14:paraId="76AF49B0" w14:textId="77777777" w:rsidR="00786414" w:rsidRPr="00655E32" w:rsidRDefault="00786414" w:rsidP="00D1699C">
      <w:pPr>
        <w:pStyle w:val="Listaszerbekezds"/>
        <w:numPr>
          <w:ilvl w:val="1"/>
          <w:numId w:val="2"/>
        </w:numPr>
        <w:rPr>
          <w:rFonts w:ascii="Arial Narrow" w:hAnsi="Arial Narrow"/>
          <w:b/>
        </w:rPr>
      </w:pPr>
      <w:r w:rsidRPr="00655E32">
        <w:rPr>
          <w:rFonts w:ascii="Arial Narrow" w:hAnsi="Arial Narrow"/>
          <w:b/>
        </w:rPr>
        <w:t>A Tűzvédelmi Tagozat Elnöke, Vezetősége</w:t>
      </w:r>
    </w:p>
    <w:p w14:paraId="3DAACA9E" w14:textId="77777777" w:rsidR="00786414" w:rsidRDefault="00786414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 xml:space="preserve">A Tagozati Gyűlés elnököt, háromtagú vezetőséget és </w:t>
      </w:r>
      <w:r w:rsidR="00655E32">
        <w:rPr>
          <w:rFonts w:ascii="Arial Narrow" w:hAnsi="Arial Narrow"/>
        </w:rPr>
        <w:t>egy</w:t>
      </w:r>
      <w:r w:rsidRPr="00C17BC1">
        <w:rPr>
          <w:rFonts w:ascii="Arial Narrow" w:hAnsi="Arial Narrow"/>
        </w:rPr>
        <w:t xml:space="preserve"> póttagot választ</w:t>
      </w:r>
      <w:r w:rsidR="00655E32">
        <w:rPr>
          <w:rFonts w:ascii="Arial Narrow" w:hAnsi="Arial Narrow"/>
        </w:rPr>
        <w:t>, akik egyben a küldöttek is</w:t>
      </w:r>
      <w:r w:rsidRPr="00C17BC1">
        <w:rPr>
          <w:rFonts w:ascii="Arial Narrow" w:hAnsi="Arial Narrow"/>
        </w:rPr>
        <w:t>. A póttag</w:t>
      </w:r>
      <w:r w:rsidR="00655E32">
        <w:rPr>
          <w:rFonts w:ascii="Arial Narrow" w:hAnsi="Arial Narrow"/>
        </w:rPr>
        <w:t>o</w:t>
      </w:r>
      <w:r w:rsidRPr="00C17BC1">
        <w:rPr>
          <w:rFonts w:ascii="Arial Narrow" w:hAnsi="Arial Narrow"/>
        </w:rPr>
        <w:t>t szükség esetén a Vezetőség hívja be, a kapott szavazatok sorrendjében.</w:t>
      </w:r>
    </w:p>
    <w:p w14:paraId="5C2BD59B" w14:textId="77777777" w:rsidR="00786414" w:rsidRPr="00655E32" w:rsidRDefault="00655E32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 xml:space="preserve">A Tagozat megalakulását követően a Tűzvédelmi Tagozat elnökét, illetve Vezetőségét a Tagozati Gyűlés egy évre választja, </w:t>
      </w:r>
      <w:r w:rsidR="00E73450">
        <w:rPr>
          <w:rFonts w:ascii="Arial Narrow" w:hAnsi="Arial Narrow"/>
        </w:rPr>
        <w:t>azután</w:t>
      </w:r>
      <w:r>
        <w:rPr>
          <w:rFonts w:ascii="Arial Narrow" w:hAnsi="Arial Narrow"/>
        </w:rPr>
        <w:t xml:space="preserve"> tisztújítást kell tartani. Ezt követően a</w:t>
      </w:r>
      <w:r w:rsidR="00786414" w:rsidRPr="00655E32">
        <w:rPr>
          <w:rFonts w:ascii="Arial Narrow" w:hAnsi="Arial Narrow"/>
        </w:rPr>
        <w:t xml:space="preserve"> Tűzvédelmi Tagozat elnökét, illetve Vezetőségét a Tagozati Gyűlés négy évre választja. A Tűzvédelmi Tagozat elnöke, illetve vezetőségi tagja visszahívható és újraválasztható. A visszahívásról a Tagozati Gyűlés dönt.</w:t>
      </w:r>
    </w:p>
    <w:p w14:paraId="18AE7CB8" w14:textId="77777777" w:rsidR="00786414" w:rsidRDefault="00786414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5661AF">
        <w:rPr>
          <w:rFonts w:ascii="Arial Narrow" w:hAnsi="Arial Narrow"/>
        </w:rPr>
        <w:t>A Tűzvédelmi Tagozat</w:t>
      </w:r>
      <w:r w:rsidR="0072216B">
        <w:rPr>
          <w:rFonts w:ascii="Arial Narrow" w:hAnsi="Arial Narrow"/>
        </w:rPr>
        <w:t>ot</w:t>
      </w:r>
      <w:r w:rsidRPr="005661AF">
        <w:rPr>
          <w:rFonts w:ascii="Arial Narrow" w:hAnsi="Arial Narrow"/>
        </w:rPr>
        <w:t xml:space="preserve"> a Tűzvédelmi Tagozat elnöke képviseli, aki egyben a MÉK tisztségviselője. Feladata ellátása körében részére utasítást csak a Tagozati Gyűlés, illetve a MÉK Küldöttgyűlése </w:t>
      </w:r>
      <w:r w:rsidR="005661AF" w:rsidRPr="005661AF">
        <w:rPr>
          <w:rFonts w:ascii="Arial Narrow" w:hAnsi="Arial Narrow"/>
        </w:rPr>
        <w:t>adhat. Tiszteletdíját a MÉK Küldöttgyűlése állapítja meg.</w:t>
      </w:r>
    </w:p>
    <w:p w14:paraId="78F35769" w14:textId="77777777" w:rsidR="005661AF" w:rsidRDefault="005661AF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5661AF">
        <w:rPr>
          <w:rFonts w:ascii="Arial Narrow" w:hAnsi="Arial Narrow"/>
        </w:rPr>
        <w:t>Az Elnököt akadályoztatása esetén az általa írásban felkért tagozatvezetőségi tag képviseli.</w:t>
      </w:r>
    </w:p>
    <w:p w14:paraId="2A6D5CAB" w14:textId="77777777" w:rsidR="005661AF" w:rsidRDefault="005661AF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5661AF">
        <w:rPr>
          <w:rFonts w:ascii="Arial Narrow" w:hAnsi="Arial Narrow"/>
        </w:rPr>
        <w:t>A Tűzvédelmi Tagozat elnökének feladata, hogy a Tűzvédelmi Tagozatra háruló szakmai feladatokat ellássa, illetve azt – a Vezetőség és a Tűzvédelmi Tagozat tagjainak, esetenként a MÉK Elnökségével történő egyeztetés alapján külső szakértők bevonásával – megszervezze.</w:t>
      </w:r>
    </w:p>
    <w:p w14:paraId="4088D9F9" w14:textId="77777777" w:rsidR="005661AF" w:rsidRDefault="005661AF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Az Elnök a MÉK Alapszabály értelmében tanácskozási jogú meghívottja a MÉK Küldöttgyűlésének.</w:t>
      </w:r>
    </w:p>
    <w:p w14:paraId="5D1EF4BB" w14:textId="77777777" w:rsidR="005661AF" w:rsidRDefault="005661AF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Az Elnök tanácskozási jogú állandó meghívottként részt vesz a MÉK Elnökségi ülésein és ott él a Tagozat véleményezési és egyetértési jogával, valamint kezdeményezheti valamely – a Tagozat érdekeltségébe tartozó – téma napirendre vételét.</w:t>
      </w:r>
    </w:p>
    <w:p w14:paraId="079F8A85" w14:textId="77777777" w:rsidR="005661AF" w:rsidRDefault="005661AF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Az Elnök évente beszámol maga és a Vezetőség munkájáról a Tagozati Gyűlésen.</w:t>
      </w:r>
      <w:r w:rsidR="0072216B" w:rsidRPr="00C17BC1">
        <w:rPr>
          <w:rFonts w:ascii="Arial Narrow" w:hAnsi="Arial Narrow"/>
        </w:rPr>
        <w:t xml:space="preserve"> </w:t>
      </w:r>
      <w:r w:rsidRPr="00C17BC1">
        <w:rPr>
          <w:rFonts w:ascii="Arial Narrow" w:hAnsi="Arial Narrow"/>
        </w:rPr>
        <w:t xml:space="preserve">Az Elnököt, akadályoztatása </w:t>
      </w:r>
      <w:r w:rsidR="0072216B" w:rsidRPr="00C17BC1">
        <w:rPr>
          <w:rFonts w:ascii="Arial Narrow" w:hAnsi="Arial Narrow"/>
        </w:rPr>
        <w:t>esetén az általa írásban felkért tagozatvezetőségi tag képviseli.</w:t>
      </w:r>
    </w:p>
    <w:p w14:paraId="0E91C8F7" w14:textId="77777777" w:rsidR="0072216B" w:rsidRPr="004B27E6" w:rsidRDefault="0072216B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Tűzvédelmi Tagozat vezetősége az Elnök által meghatározott feladatokat látja el a MÉK Alapszabálya, illetve jelen Ügyrend keretei között.</w:t>
      </w:r>
    </w:p>
    <w:p w14:paraId="09D76B80" w14:textId="77777777" w:rsidR="0072216B" w:rsidRDefault="0072216B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Vezetőségi</w:t>
      </w:r>
      <w:r>
        <w:rPr>
          <w:rFonts w:ascii="Arial Narrow" w:hAnsi="Arial Narrow"/>
          <w:b/>
        </w:rPr>
        <w:t xml:space="preserve"> </w:t>
      </w:r>
      <w:r w:rsidRPr="00C17BC1">
        <w:rPr>
          <w:rFonts w:ascii="Arial Narrow" w:hAnsi="Arial Narrow"/>
        </w:rPr>
        <w:t>Ülés</w:t>
      </w:r>
    </w:p>
    <w:p w14:paraId="2843B0B8" w14:textId="77777777" w:rsidR="0072216B" w:rsidRPr="00C17BC1" w:rsidRDefault="0072216B" w:rsidP="00D1699C">
      <w:pPr>
        <w:pStyle w:val="Listaszerbekezds"/>
        <w:numPr>
          <w:ilvl w:val="3"/>
          <w:numId w:val="2"/>
        </w:numPr>
        <w:tabs>
          <w:tab w:val="left" w:pos="426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</w:rPr>
      </w:pPr>
      <w:r w:rsidRPr="00C17BC1">
        <w:rPr>
          <w:rFonts w:ascii="Arial Narrow" w:hAnsi="Arial Narrow"/>
        </w:rPr>
        <w:t>dönt a Tűzvédelmi Tagozat rendelkezésére álló pénzügyi keret felhasználásáról, valamint a Tűzvédelmi Tagozat éves munkatervéről;</w:t>
      </w:r>
    </w:p>
    <w:p w14:paraId="47DF448E" w14:textId="77777777" w:rsidR="0072216B" w:rsidRPr="00C17BC1" w:rsidRDefault="0072216B" w:rsidP="00D1699C">
      <w:pPr>
        <w:pStyle w:val="Listaszerbekezds"/>
        <w:numPr>
          <w:ilvl w:val="3"/>
          <w:numId w:val="2"/>
        </w:numPr>
        <w:tabs>
          <w:tab w:val="left" w:pos="426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</w:rPr>
      </w:pPr>
      <w:r w:rsidRPr="00C17BC1">
        <w:rPr>
          <w:rFonts w:ascii="Arial Narrow" w:hAnsi="Arial Narrow"/>
        </w:rPr>
        <w:t>szakterületet képviselő tagokat javasol a MÉK delegáltjaként tervpályázati és egyéb zsűrikbe, valamint tervtanácsokba;</w:t>
      </w:r>
    </w:p>
    <w:p w14:paraId="5B55E0E3" w14:textId="77777777" w:rsidR="0072216B" w:rsidRPr="00C17BC1" w:rsidRDefault="0072216B" w:rsidP="00D1699C">
      <w:pPr>
        <w:pStyle w:val="Listaszerbekezds"/>
        <w:numPr>
          <w:ilvl w:val="3"/>
          <w:numId w:val="2"/>
        </w:numPr>
        <w:tabs>
          <w:tab w:val="left" w:pos="426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</w:rPr>
      </w:pPr>
      <w:r w:rsidRPr="00C17BC1">
        <w:rPr>
          <w:rFonts w:ascii="Arial Narrow" w:hAnsi="Arial Narrow"/>
        </w:rPr>
        <w:t>dönt arról, hogy a vezetőségi üléseken a vezetőségi póttagok is állandó meghívottként, szavazati joggal részt vegyenek;</w:t>
      </w:r>
    </w:p>
    <w:p w14:paraId="08A1547D" w14:textId="77777777" w:rsidR="0072216B" w:rsidRDefault="0072216B" w:rsidP="00D1699C">
      <w:pPr>
        <w:pStyle w:val="Listaszerbekezds"/>
        <w:numPr>
          <w:ilvl w:val="3"/>
          <w:numId w:val="2"/>
        </w:numPr>
        <w:tabs>
          <w:tab w:val="left" w:pos="426"/>
          <w:tab w:val="left" w:pos="1985"/>
        </w:tabs>
        <w:spacing w:before="60" w:after="60" w:line="240" w:lineRule="auto"/>
        <w:ind w:hanging="420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döntéseket, határozatokat, állásfoglalásokat hoz a Tagozatot érintő ügyekben abban az esetben, ha a szavazati jogú tagok (Elnök, vezetőségi tagok és póttagok) legalább fele jelen van.</w:t>
      </w:r>
    </w:p>
    <w:p w14:paraId="3032E1BB" w14:textId="77777777" w:rsidR="0072216B" w:rsidRDefault="0072216B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Tűzvédelmi Tagozat vezetősége szükség szerint ülésezik. Az üléseket az Elnök hívja össze és vezeti le.</w:t>
      </w:r>
    </w:p>
    <w:p w14:paraId="2B0A7DC1" w14:textId="77777777" w:rsidR="0072216B" w:rsidRDefault="0072216B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Tűzvédelmi Tagozat vezetősége dönthet arról, hogy a vezetőségi üléseken a vezetőségi póttagok is állandó meghívottként, szavazati joggal részt vegyenek.</w:t>
      </w:r>
    </w:p>
    <w:p w14:paraId="4C871F24" w14:textId="77777777" w:rsidR="0072216B" w:rsidRDefault="0072216B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Tűzvédelmi Tagozat vezetőségi ülése a Tűzvédelmi Tagozatot érintő ügyekben döntéseket, határozatokat, állásfoglalásokat hozhat abban az esetben, ha a szavazati jogú tagok (Elnök, vezetőségi tagok és póttagok) legalább fele jelen van.</w:t>
      </w:r>
    </w:p>
    <w:p w14:paraId="76C29399" w14:textId="77777777" w:rsidR="0072216B" w:rsidRDefault="0072216B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döntés</w:t>
      </w:r>
      <w:r w:rsidR="00655E32">
        <w:rPr>
          <w:rFonts w:ascii="Arial Narrow" w:hAnsi="Arial Narrow"/>
        </w:rPr>
        <w:t>e</w:t>
      </w:r>
      <w:r w:rsidRPr="00C17BC1">
        <w:rPr>
          <w:rFonts w:ascii="Arial Narrow" w:hAnsi="Arial Narrow"/>
        </w:rPr>
        <w:t>ket, határozatokat, állásfoglalásokat a vezetőségi ülés szótöbbséggel, nyílt szavazással hozza meg, szavazategyenlőség esetén az Elnök szavazata dönt.</w:t>
      </w:r>
    </w:p>
    <w:p w14:paraId="21A54786" w14:textId="0B7009F8" w:rsidR="00BF53F0" w:rsidRPr="00CF1304" w:rsidRDefault="00C17BC1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F1304">
        <w:rPr>
          <w:rFonts w:ascii="Arial Narrow" w:hAnsi="Arial Narrow"/>
        </w:rPr>
        <w:t>A vezetőségi ülésekről írásos e</w:t>
      </w:r>
      <w:r w:rsidR="00655E32" w:rsidRPr="00CF1304">
        <w:rPr>
          <w:rFonts w:ascii="Arial Narrow" w:hAnsi="Arial Narrow"/>
        </w:rPr>
        <w:t>mlékeztető készül</w:t>
      </w:r>
      <w:r w:rsidR="00CF1304" w:rsidRPr="00CF1304">
        <w:rPr>
          <w:rFonts w:ascii="Arial Narrow" w:hAnsi="Arial Narrow"/>
        </w:rPr>
        <w:t xml:space="preserve">. </w:t>
      </w:r>
      <w:r w:rsidR="00BF53F0" w:rsidRPr="00CF1304">
        <w:rPr>
          <w:rFonts w:ascii="Arial Narrow" w:hAnsi="Arial Narrow" w:cs="Arial"/>
        </w:rPr>
        <w:t>A vezetőségi ülésekről készített emlékeztető, jegyzőkönyv elkészítésért a tagozat elnöke felel, amelynek egy aláírt példányát a jelenléti ívvel együtt a MÉK Titkárságának kell leadni. Az emlékeztetők, jegyzőkönyvek és a</w:t>
      </w:r>
      <w:r w:rsidR="00BF53F0" w:rsidRPr="00CF1304">
        <w:rPr>
          <w:rFonts w:ascii="Arial Narrow" w:hAnsi="Arial Narrow"/>
          <w:b/>
        </w:rPr>
        <w:t xml:space="preserve"> </w:t>
      </w:r>
      <w:r w:rsidR="00BF53F0" w:rsidRPr="00CF1304">
        <w:rPr>
          <w:rFonts w:ascii="Arial Narrow" w:hAnsi="Arial Narrow" w:cs="Arial"/>
        </w:rPr>
        <w:t>jelenléti ívek megőrzéséért a MÉK Titkársága felel.</w:t>
      </w:r>
    </w:p>
    <w:p w14:paraId="5CB5ABBB" w14:textId="77777777" w:rsidR="00D1699C" w:rsidRDefault="00C17BC1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17BC1">
        <w:rPr>
          <w:rFonts w:ascii="Arial Narrow" w:hAnsi="Arial Narrow"/>
        </w:rPr>
        <w:t>A vezetőségi ülések – személyi döntések eseteit leszámítva – a Tűzvédelmi Tagozat tagsága előtt nyilvánosak, de a részvételi szándékot a vezetőség felé előre jelezni kell.</w:t>
      </w:r>
    </w:p>
    <w:p w14:paraId="408A0CC9" w14:textId="77777777" w:rsidR="00D1699C" w:rsidRPr="00CF1304" w:rsidRDefault="00D1699C" w:rsidP="00D1699C">
      <w:pPr>
        <w:pStyle w:val="Listaszerbekezds"/>
        <w:numPr>
          <w:ilvl w:val="2"/>
          <w:numId w:val="2"/>
        </w:numPr>
        <w:tabs>
          <w:tab w:val="left" w:pos="426"/>
          <w:tab w:val="left" w:pos="1560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 w:rsidRPr="00CF1304">
        <w:rPr>
          <w:rFonts w:ascii="Arial Narrow" w:hAnsi="Arial Narrow" w:cs="Arial"/>
        </w:rPr>
        <w:t>A tagozati elnöknek át kell adnia a tagozati tagfelvétellel kapcsolatos iratok egy példányát a MÉK Titkárságának. A tagozat pozitív döntéséről a MÉK Titkársága értesíti az illetékes területi kamara titkárát az</w:t>
      </w:r>
      <w:r w:rsidRPr="00CF1304">
        <w:rPr>
          <w:rFonts w:ascii="Arial Narrow" w:hAnsi="Arial Narrow"/>
          <w:b/>
        </w:rPr>
        <w:t xml:space="preserve"> </w:t>
      </w:r>
      <w:r w:rsidRPr="00CF1304">
        <w:rPr>
          <w:rFonts w:ascii="Arial Narrow" w:hAnsi="Arial Narrow" w:cs="Arial"/>
        </w:rPr>
        <w:t>országos nyilvántartásba vétel végett.</w:t>
      </w:r>
    </w:p>
    <w:p w14:paraId="0B194B6C" w14:textId="77777777" w:rsidR="00655E32" w:rsidRDefault="00655E32" w:rsidP="00655E32">
      <w:pPr>
        <w:pStyle w:val="Listaszerbekezds"/>
        <w:tabs>
          <w:tab w:val="left" w:pos="426"/>
          <w:tab w:val="left" w:pos="1985"/>
        </w:tabs>
        <w:spacing w:before="60" w:after="60" w:line="240" w:lineRule="auto"/>
        <w:ind w:left="1560"/>
        <w:contextualSpacing w:val="0"/>
        <w:jc w:val="both"/>
        <w:rPr>
          <w:rFonts w:ascii="Arial Narrow" w:hAnsi="Arial Narrow"/>
          <w:b/>
        </w:rPr>
      </w:pPr>
    </w:p>
    <w:p w14:paraId="646F1DE3" w14:textId="77777777" w:rsidR="00C17BC1" w:rsidRDefault="00C17BC1" w:rsidP="00D1699C">
      <w:pPr>
        <w:pStyle w:val="Listaszerbekezds"/>
        <w:numPr>
          <w:ilvl w:val="0"/>
          <w:numId w:val="2"/>
        </w:numPr>
        <w:tabs>
          <w:tab w:val="left" w:pos="426"/>
          <w:tab w:val="left" w:pos="1985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 Tűzvédelmi Tagozat működésének feltételei, fedezete</w:t>
      </w:r>
    </w:p>
    <w:p w14:paraId="15DA7B63" w14:textId="77777777" w:rsidR="00B7444F" w:rsidRPr="00CF1304" w:rsidRDefault="00B7444F" w:rsidP="00D1699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31"/>
        <w:rPr>
          <w:rFonts w:ascii="Arial Narrow" w:hAnsi="Arial Narrow" w:cs="Arial"/>
        </w:rPr>
      </w:pPr>
      <w:r w:rsidRPr="00CF1304">
        <w:rPr>
          <w:rFonts w:ascii="Arial Narrow" w:hAnsi="Arial Narrow" w:cs="Arial"/>
        </w:rPr>
        <w:t>A szakmai tagozat feladatainak ellátása során felmerülő adminisztrációs teendőket a MÉK Alapszabályának 3.8.5. és 3.8.6. pontja szerint a MÉK Titkársága látja el, a tagozat rendelkezésére álló pénzügyi keretről a MÉK Küldöttgyűlése dönt.</w:t>
      </w:r>
    </w:p>
    <w:p w14:paraId="2554268B" w14:textId="77777777" w:rsidR="00C17BC1" w:rsidRP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ind w:left="420"/>
        <w:jc w:val="both"/>
        <w:rPr>
          <w:rFonts w:ascii="Arial Narrow" w:hAnsi="Arial Narrow"/>
          <w:b/>
        </w:rPr>
      </w:pPr>
    </w:p>
    <w:p w14:paraId="28575E24" w14:textId="77777777" w:rsidR="00C17BC1" w:rsidRDefault="00C17BC1" w:rsidP="00D1699C">
      <w:pPr>
        <w:pStyle w:val="Listaszerbekezds"/>
        <w:numPr>
          <w:ilvl w:val="0"/>
          <w:numId w:val="2"/>
        </w:numPr>
        <w:tabs>
          <w:tab w:val="left" w:pos="426"/>
          <w:tab w:val="left" w:pos="1985"/>
        </w:tabs>
        <w:spacing w:before="60" w:after="60" w:line="240" w:lineRule="auto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Záró rendelkezések</w:t>
      </w:r>
    </w:p>
    <w:p w14:paraId="19546148" w14:textId="77777777" w:rsidR="00843A99" w:rsidRPr="00CF1304" w:rsidRDefault="00843A99" w:rsidP="00D1699C">
      <w:pPr>
        <w:pStyle w:val="Listaszerbekezds"/>
        <w:numPr>
          <w:ilvl w:val="1"/>
          <w:numId w:val="2"/>
        </w:numPr>
        <w:tabs>
          <w:tab w:val="left" w:pos="426"/>
          <w:tab w:val="left" w:pos="851"/>
        </w:tabs>
        <w:spacing w:before="60" w:after="60" w:line="240" w:lineRule="auto"/>
        <w:ind w:left="851" w:hanging="431"/>
        <w:contextualSpacing w:val="0"/>
        <w:jc w:val="both"/>
        <w:rPr>
          <w:rFonts w:ascii="Arial Narrow" w:hAnsi="Arial Narrow"/>
          <w:b/>
        </w:rPr>
      </w:pPr>
      <w:r w:rsidRPr="00CF1304">
        <w:rPr>
          <w:rFonts w:ascii="Arial Narrow" w:hAnsi="Arial Narrow"/>
        </w:rPr>
        <w:t xml:space="preserve">Jelen ügyrendet a Tagozati Gyűlés 2020. 10. </w:t>
      </w:r>
      <w:r w:rsidR="00786E52" w:rsidRPr="00CF1304">
        <w:rPr>
          <w:rFonts w:ascii="Arial Narrow" w:hAnsi="Arial Narrow"/>
        </w:rPr>
        <w:t>22</w:t>
      </w:r>
      <w:r w:rsidRPr="00CF1304">
        <w:rPr>
          <w:rFonts w:ascii="Arial Narrow" w:hAnsi="Arial Narrow"/>
        </w:rPr>
        <w:t>. napján fogadta el.</w:t>
      </w:r>
    </w:p>
    <w:p w14:paraId="5524C532" w14:textId="77777777" w:rsid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7EADF849" w14:textId="77777777" w:rsid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731B02A6" w14:textId="77777777" w:rsid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6E419D80" w14:textId="77777777" w:rsid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664439CC" w14:textId="77777777" w:rsid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626A4284" w14:textId="77777777" w:rsidR="00C17BC1" w:rsidRDefault="00C17BC1" w:rsidP="00C17BC1">
      <w:pPr>
        <w:tabs>
          <w:tab w:val="left" w:pos="426"/>
          <w:tab w:val="left" w:pos="1985"/>
        </w:tabs>
        <w:spacing w:before="60" w:after="60" w:line="240" w:lineRule="auto"/>
        <w:jc w:val="both"/>
        <w:rPr>
          <w:rFonts w:ascii="Arial Narrow" w:hAnsi="Arial Narrow"/>
          <w:b/>
        </w:rPr>
      </w:pPr>
    </w:p>
    <w:p w14:paraId="2186A203" w14:textId="19404EF0" w:rsidR="00C17BC1" w:rsidRDefault="00CF1304" w:rsidP="00C17BC1">
      <w:pPr>
        <w:tabs>
          <w:tab w:val="center" w:pos="2268"/>
          <w:tab w:val="center" w:pos="6237"/>
        </w:tabs>
        <w:spacing w:before="60" w:after="6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C17BC1">
        <w:rPr>
          <w:rFonts w:ascii="Arial Narrow" w:hAnsi="Arial Narrow"/>
          <w:b/>
        </w:rPr>
        <w:tab/>
        <w:t>……………………………..</w:t>
      </w:r>
    </w:p>
    <w:p w14:paraId="450221AF" w14:textId="235777BE" w:rsidR="00C17BC1" w:rsidRDefault="00C17BC1" w:rsidP="00C17BC1">
      <w:pPr>
        <w:tabs>
          <w:tab w:val="center" w:pos="2268"/>
          <w:tab w:val="center" w:pos="6237"/>
        </w:tabs>
        <w:spacing w:before="60" w:after="6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9C5199">
        <w:rPr>
          <w:rFonts w:ascii="Arial Narrow" w:hAnsi="Arial Narrow"/>
          <w:b/>
        </w:rPr>
        <w:t>Dr. Takács Lajos Gábor</w:t>
      </w:r>
    </w:p>
    <w:p w14:paraId="34EE0021" w14:textId="1909DCE1" w:rsidR="009D1217" w:rsidRPr="00CF1304" w:rsidRDefault="00C17BC1" w:rsidP="00CF1304">
      <w:pPr>
        <w:tabs>
          <w:tab w:val="center" w:pos="2268"/>
          <w:tab w:val="center" w:pos="6237"/>
        </w:tabs>
        <w:spacing w:before="60" w:after="6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Tűzvédelmi Tagozat elnöke</w:t>
      </w:r>
    </w:p>
    <w:sectPr w:rsidR="009D1217" w:rsidRPr="00CF1304" w:rsidSect="00C17BC1">
      <w:headerReference w:type="default" r:id="rId8"/>
      <w:footerReference w:type="default" r:id="rId9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B100" w14:textId="77777777" w:rsidR="00A034B5" w:rsidRDefault="00A034B5" w:rsidP="00C17BC1">
      <w:pPr>
        <w:spacing w:after="0" w:line="240" w:lineRule="auto"/>
      </w:pPr>
      <w:r>
        <w:separator/>
      </w:r>
    </w:p>
  </w:endnote>
  <w:endnote w:type="continuationSeparator" w:id="0">
    <w:p w14:paraId="750C227E" w14:textId="77777777" w:rsidR="00A034B5" w:rsidRDefault="00A034B5" w:rsidP="00C1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E48C" w14:textId="429865AC" w:rsidR="00C17BC1" w:rsidRPr="006F1CC8" w:rsidRDefault="001E7AE3" w:rsidP="00250AAE">
    <w:pPr>
      <w:pStyle w:val="llb"/>
      <w:pBdr>
        <w:top w:val="double" w:sz="4" w:space="1" w:color="auto"/>
      </w:pBdr>
      <w:tabs>
        <w:tab w:val="clear" w:pos="4536"/>
        <w:tab w:val="center" w:pos="2410"/>
      </w:tabs>
      <w:jc w:val="center"/>
      <w:rPr>
        <w:rFonts w:ascii="Arial Narrow" w:hAnsi="Arial Narrow"/>
        <w:sz w:val="18"/>
        <w:szCs w:val="18"/>
      </w:rPr>
    </w:pPr>
    <w:r w:rsidRPr="006F1CC8">
      <w:rPr>
        <w:rFonts w:ascii="Arial Narrow" w:hAnsi="Arial Narrow"/>
        <w:sz w:val="18"/>
        <w:szCs w:val="18"/>
      </w:rPr>
      <w:fldChar w:fldCharType="begin"/>
    </w:r>
    <w:r w:rsidR="00C17BC1" w:rsidRPr="006F1CC8">
      <w:rPr>
        <w:rFonts w:ascii="Arial Narrow" w:hAnsi="Arial Narrow"/>
        <w:sz w:val="18"/>
        <w:szCs w:val="18"/>
      </w:rPr>
      <w:instrText xml:space="preserve"> PAGE   \* MERGEFORMAT </w:instrText>
    </w:r>
    <w:r w:rsidRPr="006F1CC8">
      <w:rPr>
        <w:rFonts w:ascii="Arial Narrow" w:hAnsi="Arial Narrow"/>
        <w:sz w:val="18"/>
        <w:szCs w:val="18"/>
      </w:rPr>
      <w:fldChar w:fldCharType="separate"/>
    </w:r>
    <w:r w:rsidR="00E8057A" w:rsidRPr="006F1CC8">
      <w:rPr>
        <w:rFonts w:ascii="Arial Narrow" w:hAnsi="Arial Narrow"/>
        <w:noProof/>
        <w:sz w:val="18"/>
        <w:szCs w:val="18"/>
      </w:rPr>
      <w:t>4</w:t>
    </w:r>
    <w:r w:rsidRPr="006F1CC8">
      <w:rPr>
        <w:rFonts w:ascii="Arial Narrow" w:hAnsi="Arial Narrow"/>
        <w:sz w:val="18"/>
        <w:szCs w:val="18"/>
      </w:rPr>
      <w:fldChar w:fldCharType="end"/>
    </w:r>
    <w:r w:rsidR="00C17BC1" w:rsidRPr="006F1CC8">
      <w:rPr>
        <w:rFonts w:ascii="Arial Narrow" w:hAnsi="Arial Narrow"/>
        <w:sz w:val="18"/>
        <w:szCs w:val="18"/>
      </w:rPr>
      <w:t xml:space="preserve"> </w:t>
    </w:r>
    <w:r w:rsidR="00C17BC1" w:rsidRPr="006F1CC8">
      <w:rPr>
        <w:rFonts w:ascii="Arial Narrow" w:hAnsi="Arial Narrow"/>
        <w:sz w:val="18"/>
        <w:szCs w:val="18"/>
      </w:rPr>
      <w:tab/>
    </w:r>
    <w:r w:rsidR="00C17BC1" w:rsidRPr="006F1CC8">
      <w:rPr>
        <w:rFonts w:ascii="Arial Narrow" w:hAnsi="Arial Narrow"/>
        <w:sz w:val="18"/>
        <w:szCs w:val="18"/>
      </w:rPr>
      <w:tab/>
      <w:t>A Magyar Építész Kamara Tűzvédelmi Tagozatának ügyrendje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8BE8" w14:textId="77777777" w:rsidR="00A034B5" w:rsidRDefault="00A034B5" w:rsidP="00C17BC1">
      <w:pPr>
        <w:spacing w:after="0" w:line="240" w:lineRule="auto"/>
      </w:pPr>
      <w:r>
        <w:separator/>
      </w:r>
    </w:p>
  </w:footnote>
  <w:footnote w:type="continuationSeparator" w:id="0">
    <w:p w14:paraId="142EE401" w14:textId="77777777" w:rsidR="00A034B5" w:rsidRDefault="00A034B5" w:rsidP="00C1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A30" w14:textId="4FCE3961" w:rsidR="00066DCC" w:rsidRPr="00066DCC" w:rsidRDefault="006F1CC8">
    <w:pPr>
      <w:pStyle w:val="lfej"/>
      <w:rPr>
        <w:rFonts w:ascii="Arial Narrow" w:hAnsi="Arial Narrow"/>
      </w:rPr>
    </w:pPr>
    <w:r>
      <w:rPr>
        <w:rFonts w:ascii="Arial Narrow" w:hAnsi="Arial Narrow"/>
      </w:rPr>
      <w:t xml:space="preserve">Hatályos: </w:t>
    </w:r>
    <w:r w:rsidR="00066DCC" w:rsidRPr="00066DCC">
      <w:rPr>
        <w:rFonts w:ascii="Arial Narrow" w:hAnsi="Arial Narrow"/>
      </w:rPr>
      <w:t xml:space="preserve">2020 </w:t>
    </w:r>
    <w:r w:rsidR="001A5613">
      <w:rPr>
        <w:rFonts w:ascii="Arial Narrow" w:hAnsi="Arial Narrow"/>
      </w:rPr>
      <w:t>októ</w:t>
    </w:r>
    <w:r w:rsidR="00066DCC" w:rsidRPr="00066DCC">
      <w:rPr>
        <w:rFonts w:ascii="Arial Narrow" w:hAnsi="Arial Narrow"/>
      </w:rPr>
      <w:t>ber 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12E"/>
    <w:multiLevelType w:val="multilevel"/>
    <w:tmpl w:val="84E6E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198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76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C96576A"/>
    <w:multiLevelType w:val="multilevel"/>
    <w:tmpl w:val="84E6E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198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76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1E014F5F"/>
    <w:multiLevelType w:val="multilevel"/>
    <w:tmpl w:val="84E6E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1980" w:hanging="72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76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30531F0B"/>
    <w:multiLevelType w:val="multilevel"/>
    <w:tmpl w:val="273454B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" w15:restartNumberingAfterBreak="0">
    <w:nsid w:val="3CC166B7"/>
    <w:multiLevelType w:val="multilevel"/>
    <w:tmpl w:val="734CA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411215B6"/>
    <w:multiLevelType w:val="hybridMultilevel"/>
    <w:tmpl w:val="44FE3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7810"/>
    <w:multiLevelType w:val="hybridMultilevel"/>
    <w:tmpl w:val="8368A0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D61FE"/>
    <w:multiLevelType w:val="hybridMultilevel"/>
    <w:tmpl w:val="17E4CD5A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5CC40A71"/>
    <w:multiLevelType w:val="hybridMultilevel"/>
    <w:tmpl w:val="68E8FB42"/>
    <w:lvl w:ilvl="0" w:tplc="040E0003">
      <w:start w:val="1"/>
      <w:numFmt w:val="bullet"/>
      <w:lvlText w:val="o"/>
      <w:lvlJc w:val="left"/>
      <w:pPr>
        <w:ind w:left="872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9" w15:restartNumberingAfterBreak="0">
    <w:nsid w:val="6D0F378D"/>
    <w:multiLevelType w:val="hybridMultilevel"/>
    <w:tmpl w:val="AD6A6EFE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EC1AC4"/>
    <w:multiLevelType w:val="hybridMultilevel"/>
    <w:tmpl w:val="0ACA3022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6BD71BB"/>
    <w:multiLevelType w:val="hybridMultilevel"/>
    <w:tmpl w:val="E3BE9EB2"/>
    <w:lvl w:ilvl="0" w:tplc="040E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7"/>
    <w:rsid w:val="000103FB"/>
    <w:rsid w:val="000408E3"/>
    <w:rsid w:val="00066DCC"/>
    <w:rsid w:val="000B24F4"/>
    <w:rsid w:val="000B3518"/>
    <w:rsid w:val="000E3475"/>
    <w:rsid w:val="000E4449"/>
    <w:rsid w:val="001018CB"/>
    <w:rsid w:val="00113FF3"/>
    <w:rsid w:val="001538C4"/>
    <w:rsid w:val="001579A4"/>
    <w:rsid w:val="001A5613"/>
    <w:rsid w:val="001C255A"/>
    <w:rsid w:val="001E7AE3"/>
    <w:rsid w:val="001F24A6"/>
    <w:rsid w:val="00232BD9"/>
    <w:rsid w:val="00250AAE"/>
    <w:rsid w:val="00253774"/>
    <w:rsid w:val="002955B8"/>
    <w:rsid w:val="002D66DD"/>
    <w:rsid w:val="002E50D3"/>
    <w:rsid w:val="002F218F"/>
    <w:rsid w:val="00311729"/>
    <w:rsid w:val="0032672A"/>
    <w:rsid w:val="003575E0"/>
    <w:rsid w:val="00366C69"/>
    <w:rsid w:val="00373A0E"/>
    <w:rsid w:val="00383051"/>
    <w:rsid w:val="00390AF1"/>
    <w:rsid w:val="003C5B01"/>
    <w:rsid w:val="003D1962"/>
    <w:rsid w:val="003D5D7D"/>
    <w:rsid w:val="00406C62"/>
    <w:rsid w:val="0041683B"/>
    <w:rsid w:val="00486480"/>
    <w:rsid w:val="004A7027"/>
    <w:rsid w:val="004B27E6"/>
    <w:rsid w:val="005255A4"/>
    <w:rsid w:val="00553F33"/>
    <w:rsid w:val="00557A74"/>
    <w:rsid w:val="005661AF"/>
    <w:rsid w:val="00567329"/>
    <w:rsid w:val="005F307F"/>
    <w:rsid w:val="0061130E"/>
    <w:rsid w:val="00617D6B"/>
    <w:rsid w:val="006220FF"/>
    <w:rsid w:val="00626E10"/>
    <w:rsid w:val="00641B63"/>
    <w:rsid w:val="00655E32"/>
    <w:rsid w:val="006B1428"/>
    <w:rsid w:val="006F1CC8"/>
    <w:rsid w:val="0072216B"/>
    <w:rsid w:val="00786414"/>
    <w:rsid w:val="00786E52"/>
    <w:rsid w:val="00843A99"/>
    <w:rsid w:val="008951DF"/>
    <w:rsid w:val="008C2FC4"/>
    <w:rsid w:val="008D4098"/>
    <w:rsid w:val="009B018E"/>
    <w:rsid w:val="009B2602"/>
    <w:rsid w:val="009C069C"/>
    <w:rsid w:val="009C1768"/>
    <w:rsid w:val="009C5199"/>
    <w:rsid w:val="009C51C3"/>
    <w:rsid w:val="009D1217"/>
    <w:rsid w:val="009E7093"/>
    <w:rsid w:val="00A034B5"/>
    <w:rsid w:val="00A16DBA"/>
    <w:rsid w:val="00A8341D"/>
    <w:rsid w:val="00A854AB"/>
    <w:rsid w:val="00B37AFE"/>
    <w:rsid w:val="00B7444F"/>
    <w:rsid w:val="00B94F45"/>
    <w:rsid w:val="00BA48A6"/>
    <w:rsid w:val="00BB4117"/>
    <w:rsid w:val="00BF53F0"/>
    <w:rsid w:val="00C17BC1"/>
    <w:rsid w:val="00C36940"/>
    <w:rsid w:val="00C57FE0"/>
    <w:rsid w:val="00CC33D8"/>
    <w:rsid w:val="00CF1304"/>
    <w:rsid w:val="00D1699C"/>
    <w:rsid w:val="00D32E9E"/>
    <w:rsid w:val="00D35AF4"/>
    <w:rsid w:val="00D45C5E"/>
    <w:rsid w:val="00D65693"/>
    <w:rsid w:val="00DC5E91"/>
    <w:rsid w:val="00E0484A"/>
    <w:rsid w:val="00E26E09"/>
    <w:rsid w:val="00E37F66"/>
    <w:rsid w:val="00E73450"/>
    <w:rsid w:val="00E8057A"/>
    <w:rsid w:val="00EA3019"/>
    <w:rsid w:val="00EB6333"/>
    <w:rsid w:val="00EC6129"/>
    <w:rsid w:val="00F00EE6"/>
    <w:rsid w:val="00F26C2B"/>
    <w:rsid w:val="00F94499"/>
    <w:rsid w:val="00FA4A69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6F3E"/>
  <w15:docId w15:val="{E210B85A-0FCE-4997-954A-CEBB7882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7FE0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12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1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7BC1"/>
  </w:style>
  <w:style w:type="paragraph" w:styleId="llb">
    <w:name w:val="footer"/>
    <w:basedOn w:val="Norml"/>
    <w:link w:val="llbChar"/>
    <w:uiPriority w:val="99"/>
    <w:unhideWhenUsed/>
    <w:rsid w:val="00C17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7BC1"/>
  </w:style>
  <w:style w:type="character" w:styleId="Jegyzethivatkozs">
    <w:name w:val="annotation reference"/>
    <w:uiPriority w:val="99"/>
    <w:semiHidden/>
    <w:unhideWhenUsed/>
    <w:rsid w:val="009C069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06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C069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069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C069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C069C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86480"/>
    <w:rPr>
      <w:rFonts w:eastAsia="Calibri"/>
      <w:color w:val="000000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0408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2808-3947-4BB0-A471-16BB27FB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2521</Words>
  <Characters>17397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Takács Lajos</dc:creator>
  <cp:lastModifiedBy>MÉK Magyar Építész Kamara</cp:lastModifiedBy>
  <cp:revision>4</cp:revision>
  <cp:lastPrinted>2013-10-02T06:28:00Z</cp:lastPrinted>
  <dcterms:created xsi:type="dcterms:W3CDTF">2021-03-22T08:45:00Z</dcterms:created>
  <dcterms:modified xsi:type="dcterms:W3CDTF">2021-04-14T15:19:00Z</dcterms:modified>
</cp:coreProperties>
</file>